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7522BF">
            <w:pPr>
              <w:pStyle w:val="Ttulo8"/>
              <w:rPr>
                <w:sz w:val="40"/>
              </w:rPr>
            </w:pPr>
            <w:r>
              <w:rPr>
                <w:sz w:val="36"/>
              </w:rPr>
              <w:t>NOVIEMBRE</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C3520D" w:rsidP="00C3520D">
            <w:pPr>
              <w:tabs>
                <w:tab w:val="left" w:pos="4111"/>
              </w:tabs>
              <w:jc w:val="right"/>
              <w:rPr>
                <w:sz w:val="22"/>
              </w:rPr>
            </w:pPr>
            <w:bookmarkStart w:id="2" w:name="_Hlt24881596"/>
            <w:r>
              <w:rPr>
                <w:sz w:val="22"/>
              </w:rPr>
              <w:t>1</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6C1354" w:rsidP="006C1354">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6C1354" w:rsidP="006C1354">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CE7ABC">
      <w:pPr>
        <w:jc w:val="center"/>
        <w:rPr>
          <w:b/>
          <w:color w:val="FF0000"/>
          <w:sz w:val="26"/>
        </w:rPr>
      </w:pPr>
      <w:r>
        <w:rPr>
          <w:b/>
          <w:noProof/>
          <w:color w:val="FF0000"/>
          <w:sz w:val="26"/>
          <w:lang w:val="es-PE" w:eastAsia="es-PE"/>
        </w:rPr>
        <w:pict>
          <v:shapetype id="_x0000_t202" coordsize="21600,21600" o:spt="202" path="m,l,21600r21600,l21600,xe">
            <v:stroke joinstyle="miter"/>
            <v:path gradientshapeok="t" o:connecttype="rect"/>
          </v:shapetype>
          <v:shape id="_x0000_s409601" type="#_x0000_t202" style="position:absolute;left:0;text-align:left;margin-left:411.3pt;margin-top:36.45pt;width:21pt;height:20.25pt;z-index:251781632" stroked="f">
            <v:textbox>
              <w:txbxContent>
                <w:p w:rsidR="006913BD" w:rsidRPr="0057553C" w:rsidRDefault="006913BD" w:rsidP="0057553C">
                  <w:pPr>
                    <w:rPr>
                      <w:lang w:val="es-PE"/>
                    </w:rPr>
                  </w:pPr>
                </w:p>
              </w:txbxContent>
            </v:textbox>
          </v:shape>
        </w:pict>
      </w: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sidRPr="008851E0">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0B5209" w:rsidP="0036002A">
      <w:pPr>
        <w:rPr>
          <w:sz w:val="22"/>
          <w:szCs w:val="22"/>
        </w:rPr>
      </w:pPr>
      <w:r w:rsidRPr="00714287">
        <w:rPr>
          <w:sz w:val="22"/>
          <w:szCs w:val="22"/>
        </w:rPr>
        <w:lastRenderedPageBreak/>
        <w:t xml:space="preserve">En el </w:t>
      </w:r>
      <w:r>
        <w:rPr>
          <w:sz w:val="22"/>
          <w:szCs w:val="22"/>
        </w:rPr>
        <w:t>período enero-noviembre</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a expansión del 4,6 por ciento</w:t>
      </w:r>
      <w:r>
        <w:rPr>
          <w:sz w:val="22"/>
          <w:szCs w:val="22"/>
        </w:rPr>
        <w:t xml:space="preserve"> respecto de similar lapso del año anterior. Esto obedeció al crecimiento de  los sectores de pesca (9,5 por ciento),  manufactura (11,8 por ciento), construcción (12,6 por ciento), electricidad y agua (6,2 por ciento), servicios gubernamentales (7,5 por ciento) y servicios financieros (11,8 por ciento). En contraste, se contrajeron los sectores agropecuario (-1,7 por ciento) y de hidrocarburos (-0,6 por ciento).</w:t>
      </w:r>
      <w:r w:rsidR="00EE094F">
        <w:rPr>
          <w:sz w:val="22"/>
          <w:szCs w:val="22"/>
        </w:rPr>
        <w:t xml:space="preserve"> </w:t>
      </w:r>
    </w:p>
    <w:p w:rsidR="00852557" w:rsidRDefault="00852557">
      <w:pPr>
        <w:rPr>
          <w:color w:val="FF0000"/>
          <w:sz w:val="22"/>
        </w:rPr>
      </w:pPr>
    </w:p>
    <w:p w:rsidR="00852557" w:rsidRPr="008851E0" w:rsidRDefault="00C053FA">
      <w:pPr>
        <w:pStyle w:val="SBS"/>
        <w:rPr>
          <w:rFonts w:ascii="Times New Roman" w:hAnsi="Times New Roman"/>
          <w:bCs/>
          <w:color w:val="FF0000"/>
        </w:rPr>
      </w:pPr>
      <w:r w:rsidRPr="008851E0">
        <w:rPr>
          <w:rFonts w:ascii="Times New Roman" w:hAnsi="Times New Roman"/>
          <w:bCs/>
          <w:szCs w:val="22"/>
        </w:rPr>
        <w:t xml:space="preserve">Del total de </w:t>
      </w:r>
      <w:r w:rsidRPr="008851E0">
        <w:rPr>
          <w:rFonts w:ascii="Times New Roman" w:hAnsi="Times New Roman"/>
          <w:b/>
          <w:bCs/>
          <w:szCs w:val="22"/>
        </w:rPr>
        <w:t>empresas comerciales encuestadas</w:t>
      </w:r>
      <w:r w:rsidR="002A0FF7" w:rsidRPr="008851E0">
        <w:rPr>
          <w:rFonts w:ascii="Times New Roman" w:hAnsi="Times New Roman"/>
          <w:b/>
          <w:bCs/>
          <w:szCs w:val="22"/>
        </w:rPr>
        <w:t xml:space="preserve"> </w:t>
      </w:r>
      <w:r w:rsidR="002A0FF7" w:rsidRPr="008851E0">
        <w:rPr>
          <w:rFonts w:ascii="Times New Roman" w:hAnsi="Times New Roman"/>
          <w:bCs/>
          <w:szCs w:val="22"/>
        </w:rPr>
        <w:t>en el mes</w:t>
      </w:r>
      <w:r w:rsidRPr="008851E0">
        <w:rPr>
          <w:rFonts w:ascii="Times New Roman" w:hAnsi="Times New Roman"/>
          <w:bCs/>
          <w:szCs w:val="22"/>
        </w:rPr>
        <w:t xml:space="preserve">,  </w:t>
      </w:r>
      <w:r w:rsidR="008851E0" w:rsidRPr="008851E0">
        <w:rPr>
          <w:rFonts w:ascii="Times New Roman" w:hAnsi="Times New Roman"/>
          <w:bCs/>
          <w:szCs w:val="22"/>
        </w:rPr>
        <w:t xml:space="preserve">el 59,0 por ciento incrementó sus ventas respecto a noviembre del año pasado, mientras que un 17,0 por ciento  experimentó una disminución  y un 24,0 por ciento no mostró variación alguna. </w:t>
      </w:r>
    </w:p>
    <w:p w:rsidR="007E54D7" w:rsidRDefault="007E54D7">
      <w:pPr>
        <w:pStyle w:val="SBS"/>
        <w:rPr>
          <w:rFonts w:ascii="Times New Roman" w:hAnsi="Times New Roman"/>
          <w:bCs/>
          <w:color w:val="FF0000"/>
        </w:rPr>
      </w:pPr>
    </w:p>
    <w:p w:rsidR="001D0223" w:rsidRDefault="008E49D7" w:rsidP="001D0223">
      <w:pPr>
        <w:pStyle w:val="Sangradetextonormal"/>
        <w:ind w:firstLine="0"/>
        <w:rPr>
          <w:sz w:val="22"/>
        </w:rPr>
      </w:pPr>
      <w:r>
        <w:rPr>
          <w:lang w:val="es-ES"/>
        </w:rPr>
        <w:t xml:space="preserve">En </w:t>
      </w:r>
      <w:r w:rsidR="00852557">
        <w:rPr>
          <w:color w:val="000000"/>
          <w:lang w:val="es-ES"/>
        </w:rPr>
        <w:t xml:space="preserve">el mes, </w:t>
      </w:r>
      <w:r w:rsidR="00B81839">
        <w:rPr>
          <w:color w:val="000000"/>
          <w:lang w:val="es-ES"/>
        </w:rPr>
        <w:t xml:space="preserve"> </w:t>
      </w:r>
      <w:r w:rsidR="00D73C7D">
        <w:rPr>
          <w:color w:val="000000"/>
          <w:lang w:val="es-ES"/>
        </w:rPr>
        <w:t xml:space="preserve">el </w:t>
      </w:r>
      <w:r w:rsidR="00D73C7D" w:rsidRPr="00D73C7D">
        <w:rPr>
          <w:b/>
          <w:color w:val="000000"/>
          <w:lang w:val="es-ES"/>
        </w:rPr>
        <w:t xml:space="preserve">tipo de cambio venta </w:t>
      </w:r>
      <w:r w:rsidR="00D73C7D">
        <w:rPr>
          <w:color w:val="000000"/>
          <w:lang w:val="es-ES"/>
        </w:rPr>
        <w:t xml:space="preserve">(promedio) en el mercado informal de la ciudad de Piura </w:t>
      </w:r>
      <w:r w:rsidR="008851E0">
        <w:rPr>
          <w:color w:val="000000"/>
          <w:lang w:val="es-ES"/>
        </w:rPr>
        <w:t xml:space="preserve">disminuyó en 3,7 </w:t>
      </w:r>
      <w:r w:rsidR="008851E0">
        <w:rPr>
          <w:lang w:val="es-ES"/>
        </w:rPr>
        <w:t xml:space="preserve"> </w:t>
      </w:r>
      <w:r w:rsidR="008851E0">
        <w:rPr>
          <w:color w:val="000000"/>
          <w:lang w:val="es-ES"/>
        </w:rPr>
        <w:t xml:space="preserve">por ciento respecto a similar período del año anterior. </w:t>
      </w:r>
      <w:r w:rsidR="004A5DA5">
        <w:rPr>
          <w:color w:val="000000"/>
          <w:lang w:val="es-ES"/>
        </w:rPr>
        <w:br w:type="column"/>
      </w:r>
      <w:r w:rsidR="00B71374" w:rsidRPr="00CA63F9">
        <w:lastRenderedPageBreak/>
        <w:t xml:space="preserve">En </w:t>
      </w:r>
      <w:r w:rsidR="008851E0">
        <w:t>noviemb</w:t>
      </w:r>
      <w:r w:rsidR="00D73C7D">
        <w:t>re</w:t>
      </w:r>
      <w:r w:rsidR="00B71374" w:rsidRPr="00CA63F9">
        <w:t xml:space="preserve">, </w:t>
      </w:r>
      <w:r w:rsidR="008851E0">
        <w:rPr>
          <w:sz w:val="22"/>
        </w:rPr>
        <w:t xml:space="preserve">las </w:t>
      </w:r>
      <w:r w:rsidR="008851E0">
        <w:rPr>
          <w:b/>
          <w:sz w:val="22"/>
        </w:rPr>
        <w:t>exportaciones</w:t>
      </w:r>
      <w:r w:rsidR="008851E0">
        <w:rPr>
          <w:sz w:val="22"/>
        </w:rPr>
        <w:t xml:space="preserve"> del departamento de Piura fueron de US$309,9 millones, lo que significó una incremento de 125,8 por ciento respecto a las de igual mes del año pasado, por la expansión en las ventas de productos tradicionales (554,7 por ciento) y no tradicionales (37,4 por ciento). </w:t>
      </w:r>
    </w:p>
    <w:p w:rsidR="00475595" w:rsidRPr="004A5DA5" w:rsidRDefault="00475595" w:rsidP="00475595">
      <w:pPr>
        <w:pStyle w:val="Sangradetextonormal"/>
        <w:ind w:firstLine="0"/>
        <w:rPr>
          <w:sz w:val="22"/>
        </w:rPr>
      </w:pPr>
    </w:p>
    <w:p w:rsidR="00852557" w:rsidRDefault="00852557" w:rsidP="00CA63F9">
      <w:pPr>
        <w:pStyle w:val="Textoindependiente2"/>
        <w:tabs>
          <w:tab w:val="left" w:pos="2552"/>
        </w:tabs>
        <w:rPr>
          <w:sz w:val="22"/>
        </w:rPr>
      </w:pPr>
      <w:r>
        <w:rPr>
          <w:sz w:val="22"/>
        </w:rPr>
        <w:t>En el plano fiscal,</w:t>
      </w:r>
      <w:r w:rsidR="00D73C7D">
        <w:rPr>
          <w:sz w:val="22"/>
        </w:rPr>
        <w:t xml:space="preserve"> </w:t>
      </w:r>
      <w:r w:rsidR="008851E0" w:rsidRPr="004758D9">
        <w:rPr>
          <w:sz w:val="22"/>
        </w:rPr>
        <w:t xml:space="preserve">la </w:t>
      </w:r>
      <w:r w:rsidR="008851E0" w:rsidRPr="004758D9">
        <w:rPr>
          <w:b/>
          <w:sz w:val="22"/>
        </w:rPr>
        <w:t>recaudación de ingresos</w:t>
      </w:r>
      <w:r w:rsidR="008851E0" w:rsidRPr="00D73C7D">
        <w:rPr>
          <w:b/>
          <w:sz w:val="22"/>
        </w:rPr>
        <w:t xml:space="preserve"> realizada por la SUNAT</w:t>
      </w:r>
      <w:r w:rsidR="008851E0">
        <w:rPr>
          <w:sz w:val="22"/>
        </w:rPr>
        <w:t xml:space="preserve"> bordeó los S/.144,4 millones, lo que implicó un incremento del 18,6 por ciento respecto de igual mes del año anterior. Esto radicó en la expansión de los impuestos a los ingresos (32,1 por ciento) y del impuesto general a las ventas (7,5 por ciento).</w:t>
      </w:r>
      <w:r w:rsidR="00D73C7D">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D73C7D">
        <w:rPr>
          <w:sz w:val="22"/>
        </w:rPr>
        <w:t>3</w:t>
      </w:r>
      <w:r w:rsidR="008851E0">
        <w:rPr>
          <w:sz w:val="22"/>
        </w:rPr>
        <w:t>5</w:t>
      </w:r>
      <w:r w:rsidR="007E7C91">
        <w:rPr>
          <w:sz w:val="22"/>
        </w:rPr>
        <w:t>,</w:t>
      </w:r>
      <w:r w:rsidR="00D73C7D">
        <w:rPr>
          <w:sz w:val="22"/>
        </w:rPr>
        <w:t>5</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8851E0">
        <w:rPr>
          <w:sz w:val="22"/>
          <w:szCs w:val="22"/>
        </w:rPr>
        <w:t>14</w:t>
      </w:r>
      <w:r w:rsidR="0069742A">
        <w:rPr>
          <w:sz w:val="22"/>
          <w:szCs w:val="22"/>
        </w:rPr>
        <w:t>,</w:t>
      </w:r>
      <w:r w:rsidR="008851E0">
        <w:rPr>
          <w:sz w:val="22"/>
          <w:szCs w:val="22"/>
        </w:rPr>
        <w:t>3</w:t>
      </w:r>
      <w:r w:rsidR="00B71374">
        <w:rPr>
          <w:sz w:val="22"/>
          <w:szCs w:val="22"/>
        </w:rPr>
        <w:t xml:space="preserve"> y 1</w:t>
      </w:r>
      <w:r w:rsidR="008851E0">
        <w:rPr>
          <w:sz w:val="22"/>
          <w:szCs w:val="22"/>
        </w:rPr>
        <w:t>3</w:t>
      </w:r>
      <w:r w:rsidR="00B71374">
        <w:rPr>
          <w:sz w:val="22"/>
          <w:szCs w:val="22"/>
        </w:rPr>
        <w:t>,</w:t>
      </w:r>
      <w:r w:rsidR="008851E0">
        <w:rPr>
          <w:sz w:val="22"/>
          <w:szCs w:val="22"/>
        </w:rPr>
        <w:t>1</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8851E0">
        <w:rPr>
          <w:sz w:val="22"/>
          <w:szCs w:val="22"/>
        </w:rPr>
        <w:t>noviem</w:t>
      </w:r>
      <w:r w:rsidR="00D73C7D">
        <w:rPr>
          <w:sz w:val="22"/>
          <w:szCs w:val="22"/>
        </w:rPr>
        <w:t>bre</w:t>
      </w:r>
      <w:r w:rsidR="00475595">
        <w:rPr>
          <w:sz w:val="22"/>
          <w:szCs w:val="22"/>
        </w:rPr>
        <w:t xml:space="preserve">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8851E0">
        <w:rPr>
          <w:sz w:val="22"/>
          <w:szCs w:val="22"/>
        </w:rPr>
        <w:t>5</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CE7ABC" w:rsidP="00B81839">
      <w:pPr>
        <w:rPr>
          <w:color w:val="FF0000"/>
          <w:sz w:val="22"/>
        </w:rPr>
        <w:sectPr w:rsidR="00852557">
          <w:type w:val="continuous"/>
          <w:pgSz w:w="11906" w:h="16838"/>
          <w:pgMar w:top="1417" w:right="1701" w:bottom="1417" w:left="1701" w:header="720" w:footer="720" w:gutter="0"/>
          <w:cols w:space="709"/>
        </w:sectPr>
      </w:pPr>
      <w:r>
        <w:rPr>
          <w:noProof/>
          <w:color w:val="FF0000"/>
          <w:sz w:val="22"/>
          <w:lang w:val="es-PE" w:eastAsia="es-PE"/>
        </w:rPr>
        <w:lastRenderedPageBreak/>
        <w:pict>
          <v:shape id="_x0000_s409600" type="#_x0000_t202" style="position:absolute;left:0;text-align:left;margin-left:406.8pt;margin-top:39.55pt;width:21pt;height:20.25pt;z-index:251780608" stroked="f">
            <v:textbox>
              <w:txbxContent>
                <w:p w:rsidR="006913BD" w:rsidRPr="0057553C" w:rsidRDefault="006913BD">
                  <w:pPr>
                    <w:rPr>
                      <w:sz w:val="20"/>
                      <w:szCs w:val="20"/>
                      <w:lang w:val="es-PE"/>
                    </w:rPr>
                  </w:pPr>
                  <w:r w:rsidRPr="0057553C">
                    <w:rPr>
                      <w:sz w:val="20"/>
                      <w:szCs w:val="20"/>
                      <w:lang w:val="es-PE"/>
                    </w:rPr>
                    <w:t>1</w:t>
                  </w:r>
                </w:p>
              </w:txbxContent>
            </v:textbox>
          </v:shape>
        </w:pict>
      </w:r>
    </w:p>
    <w:p w:rsidR="00852557" w:rsidRPr="00F143AB" w:rsidRDefault="00852557">
      <w:pPr>
        <w:pStyle w:val="Ttulo6"/>
      </w:pPr>
      <w:r w:rsidRPr="00F143AB">
        <w:lastRenderedPageBreak/>
        <w:t>ACTIVIDAD PRODUCTIVA Y EMPLEO</w:t>
      </w:r>
    </w:p>
    <w:p w:rsidR="00852557" w:rsidRPr="00475005" w:rsidRDefault="00852557">
      <w:pPr>
        <w:ind w:firstLine="708"/>
      </w:pPr>
    </w:p>
    <w:p w:rsidR="00852557" w:rsidRPr="00475005" w:rsidRDefault="00852557">
      <w:pPr>
        <w:ind w:firstLine="708"/>
        <w:sectPr w:rsidR="00852557" w:rsidRPr="00475005">
          <w:type w:val="continuous"/>
          <w:pgSz w:w="11906" w:h="16838"/>
          <w:pgMar w:top="1417" w:right="1701" w:bottom="1417" w:left="1701" w:header="720" w:footer="720" w:gutter="0"/>
          <w:pgNumType w:start="2"/>
          <w:cols w:space="720" w:equalWidth="0">
            <w:col w:w="8504"/>
          </w:cols>
        </w:sectPr>
      </w:pPr>
    </w:p>
    <w:p w:rsidR="00852557" w:rsidRPr="008851E0" w:rsidRDefault="00852557">
      <w:pPr>
        <w:numPr>
          <w:ilvl w:val="1"/>
          <w:numId w:val="1"/>
        </w:numPr>
        <w:rPr>
          <w:b/>
        </w:rPr>
      </w:pPr>
      <w:r w:rsidRPr="008851E0">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714287" w:rsidRDefault="0040195F" w:rsidP="0040195F">
      <w:pPr>
        <w:rPr>
          <w:sz w:val="22"/>
          <w:szCs w:val="22"/>
        </w:rPr>
      </w:pPr>
      <w:r w:rsidRPr="00714287">
        <w:rPr>
          <w:sz w:val="22"/>
          <w:szCs w:val="22"/>
        </w:rPr>
        <w:lastRenderedPageBreak/>
        <w:t xml:space="preserve">En el </w:t>
      </w:r>
      <w:r w:rsidR="0029576C">
        <w:rPr>
          <w:sz w:val="22"/>
          <w:szCs w:val="22"/>
        </w:rPr>
        <w:t>período enero-</w:t>
      </w:r>
      <w:r w:rsidR="00905B51">
        <w:rPr>
          <w:sz w:val="22"/>
          <w:szCs w:val="22"/>
        </w:rPr>
        <w:t>noviem</w:t>
      </w:r>
      <w:r w:rsidR="00714024">
        <w:rPr>
          <w:sz w:val="22"/>
          <w:szCs w:val="22"/>
        </w:rPr>
        <w:t>bre</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 xml:space="preserve">a </w:t>
      </w:r>
      <w:r w:rsidR="00714287">
        <w:rPr>
          <w:bCs/>
          <w:sz w:val="22"/>
          <w:szCs w:val="22"/>
        </w:rPr>
        <w:t xml:space="preserve">expansión del </w:t>
      </w:r>
      <w:r w:rsidR="00393534">
        <w:rPr>
          <w:bCs/>
          <w:sz w:val="22"/>
          <w:szCs w:val="22"/>
        </w:rPr>
        <w:t>4</w:t>
      </w:r>
      <w:r w:rsidR="002A0FF7">
        <w:rPr>
          <w:bCs/>
          <w:sz w:val="22"/>
          <w:szCs w:val="22"/>
        </w:rPr>
        <w:t>,</w:t>
      </w:r>
      <w:r w:rsidR="00905B51">
        <w:rPr>
          <w:bCs/>
          <w:sz w:val="22"/>
          <w:szCs w:val="22"/>
        </w:rPr>
        <w:t>6</w:t>
      </w:r>
      <w:r>
        <w:rPr>
          <w:bCs/>
          <w:sz w:val="22"/>
          <w:szCs w:val="22"/>
        </w:rPr>
        <w:t xml:space="preserve"> por ciento</w:t>
      </w:r>
      <w:r>
        <w:rPr>
          <w:sz w:val="22"/>
          <w:szCs w:val="22"/>
        </w:rPr>
        <w:t xml:space="preserve"> respecto de similar </w:t>
      </w:r>
      <w:r w:rsidR="0029576C">
        <w:rPr>
          <w:sz w:val="22"/>
          <w:szCs w:val="22"/>
        </w:rPr>
        <w:t>lapso</w:t>
      </w:r>
      <w:r>
        <w:rPr>
          <w:sz w:val="22"/>
          <w:szCs w:val="22"/>
        </w:rPr>
        <w:t xml:space="preserve"> del año anterior</w:t>
      </w:r>
      <w:r>
        <w:rPr>
          <w:sz w:val="22"/>
          <w:szCs w:val="22"/>
          <w:vertAlign w:val="superscript"/>
        </w:rPr>
        <w:t>1</w:t>
      </w:r>
      <w:r>
        <w:rPr>
          <w:sz w:val="22"/>
          <w:szCs w:val="22"/>
        </w:rPr>
        <w:t>. Esto obedeció a</w:t>
      </w:r>
      <w:r w:rsidR="00FB6E97">
        <w:rPr>
          <w:sz w:val="22"/>
          <w:szCs w:val="22"/>
        </w:rPr>
        <w:t xml:space="preserve">l </w:t>
      </w:r>
      <w:r w:rsidR="00714287">
        <w:rPr>
          <w:sz w:val="22"/>
          <w:szCs w:val="22"/>
        </w:rPr>
        <w:t>c</w:t>
      </w:r>
      <w:r w:rsidR="00FB6E97">
        <w:rPr>
          <w:sz w:val="22"/>
          <w:szCs w:val="22"/>
        </w:rPr>
        <w:t xml:space="preserve">recimiento de </w:t>
      </w:r>
      <w:r>
        <w:rPr>
          <w:sz w:val="22"/>
          <w:szCs w:val="22"/>
        </w:rPr>
        <w:t xml:space="preserve"> </w:t>
      </w:r>
      <w:r w:rsidR="00FB6E97">
        <w:rPr>
          <w:sz w:val="22"/>
          <w:szCs w:val="22"/>
        </w:rPr>
        <w:t xml:space="preserve">los sectores </w:t>
      </w:r>
      <w:r w:rsidR="00475005">
        <w:rPr>
          <w:sz w:val="22"/>
          <w:szCs w:val="22"/>
        </w:rPr>
        <w:t xml:space="preserve">de </w:t>
      </w:r>
      <w:r w:rsidR="00714024">
        <w:rPr>
          <w:sz w:val="22"/>
          <w:szCs w:val="22"/>
        </w:rPr>
        <w:t>pesca (</w:t>
      </w:r>
      <w:r w:rsidR="00905B51">
        <w:rPr>
          <w:sz w:val="22"/>
          <w:szCs w:val="22"/>
        </w:rPr>
        <w:t>9</w:t>
      </w:r>
      <w:r w:rsidR="00714024">
        <w:rPr>
          <w:sz w:val="22"/>
          <w:szCs w:val="22"/>
        </w:rPr>
        <w:t>,</w:t>
      </w:r>
      <w:r w:rsidR="00905B51">
        <w:rPr>
          <w:sz w:val="22"/>
          <w:szCs w:val="22"/>
        </w:rPr>
        <w:t>5</w:t>
      </w:r>
      <w:r w:rsidR="00714024">
        <w:rPr>
          <w:sz w:val="22"/>
          <w:szCs w:val="22"/>
        </w:rPr>
        <w:t xml:space="preserve"> por ciento), </w:t>
      </w:r>
      <w:r w:rsidR="00B854E7">
        <w:rPr>
          <w:sz w:val="22"/>
          <w:szCs w:val="22"/>
        </w:rPr>
        <w:t xml:space="preserve"> </w:t>
      </w:r>
      <w:r w:rsidR="0029576C">
        <w:rPr>
          <w:sz w:val="22"/>
          <w:szCs w:val="22"/>
        </w:rPr>
        <w:t>manufactura (</w:t>
      </w:r>
      <w:r w:rsidR="00393534">
        <w:rPr>
          <w:sz w:val="22"/>
          <w:szCs w:val="22"/>
        </w:rPr>
        <w:t>1</w:t>
      </w:r>
      <w:r w:rsidR="00905B51">
        <w:rPr>
          <w:sz w:val="22"/>
          <w:szCs w:val="22"/>
        </w:rPr>
        <w:t>1</w:t>
      </w:r>
      <w:r w:rsidR="00393534">
        <w:rPr>
          <w:sz w:val="22"/>
          <w:szCs w:val="22"/>
        </w:rPr>
        <w:t>,</w:t>
      </w:r>
      <w:r w:rsidR="00905B51">
        <w:rPr>
          <w:sz w:val="22"/>
          <w:szCs w:val="22"/>
        </w:rPr>
        <w:t>8</w:t>
      </w:r>
      <w:r w:rsidR="0029576C">
        <w:rPr>
          <w:sz w:val="22"/>
          <w:szCs w:val="22"/>
        </w:rPr>
        <w:t xml:space="preserve"> por ciento), </w:t>
      </w:r>
      <w:r w:rsidR="00714287">
        <w:rPr>
          <w:sz w:val="22"/>
          <w:szCs w:val="22"/>
        </w:rPr>
        <w:t xml:space="preserve">construcción </w:t>
      </w:r>
      <w:r w:rsidR="00714287">
        <w:rPr>
          <w:sz w:val="22"/>
          <w:szCs w:val="22"/>
        </w:rPr>
        <w:lastRenderedPageBreak/>
        <w:t>(1</w:t>
      </w:r>
      <w:r w:rsidR="00905B51">
        <w:rPr>
          <w:sz w:val="22"/>
          <w:szCs w:val="22"/>
        </w:rPr>
        <w:t>2</w:t>
      </w:r>
      <w:r w:rsidR="00714287">
        <w:rPr>
          <w:sz w:val="22"/>
          <w:szCs w:val="22"/>
        </w:rPr>
        <w:t>,</w:t>
      </w:r>
      <w:r w:rsidR="00905B51">
        <w:rPr>
          <w:sz w:val="22"/>
          <w:szCs w:val="22"/>
        </w:rPr>
        <w:t>6</w:t>
      </w:r>
      <w:r w:rsidR="00714287">
        <w:rPr>
          <w:sz w:val="22"/>
          <w:szCs w:val="22"/>
        </w:rPr>
        <w:t xml:space="preserve"> por ciento), </w:t>
      </w:r>
      <w:r w:rsidR="00475005">
        <w:rPr>
          <w:sz w:val="22"/>
          <w:szCs w:val="22"/>
        </w:rPr>
        <w:t>electricidad y agua (</w:t>
      </w:r>
      <w:r w:rsidR="00905B51">
        <w:rPr>
          <w:sz w:val="22"/>
          <w:szCs w:val="22"/>
        </w:rPr>
        <w:t>6</w:t>
      </w:r>
      <w:r w:rsidR="00475005">
        <w:rPr>
          <w:sz w:val="22"/>
          <w:szCs w:val="22"/>
        </w:rPr>
        <w:t>,</w:t>
      </w:r>
      <w:r w:rsidR="00905B51">
        <w:rPr>
          <w:sz w:val="22"/>
          <w:szCs w:val="22"/>
        </w:rPr>
        <w:t>2</w:t>
      </w:r>
      <w:r w:rsidR="00475005">
        <w:rPr>
          <w:sz w:val="22"/>
          <w:szCs w:val="22"/>
        </w:rPr>
        <w:t xml:space="preserve"> por ciento), </w:t>
      </w:r>
      <w:r w:rsidR="00714287">
        <w:rPr>
          <w:sz w:val="22"/>
          <w:szCs w:val="22"/>
        </w:rPr>
        <w:t>servicios gubernamentales (</w:t>
      </w:r>
      <w:r w:rsidR="00905B51">
        <w:rPr>
          <w:sz w:val="22"/>
          <w:szCs w:val="22"/>
        </w:rPr>
        <w:t>7</w:t>
      </w:r>
      <w:r w:rsidR="00714287">
        <w:rPr>
          <w:sz w:val="22"/>
          <w:szCs w:val="22"/>
        </w:rPr>
        <w:t>,</w:t>
      </w:r>
      <w:r w:rsidR="00905B51">
        <w:rPr>
          <w:sz w:val="22"/>
          <w:szCs w:val="22"/>
        </w:rPr>
        <w:t>5</w:t>
      </w:r>
      <w:r w:rsidR="00714287">
        <w:rPr>
          <w:sz w:val="22"/>
          <w:szCs w:val="22"/>
        </w:rPr>
        <w:t xml:space="preserve"> por ciento) y servicios financieros (</w:t>
      </w:r>
      <w:r w:rsidR="00905B51">
        <w:rPr>
          <w:sz w:val="22"/>
          <w:szCs w:val="22"/>
        </w:rPr>
        <w:t>11</w:t>
      </w:r>
      <w:r w:rsidR="00714287">
        <w:rPr>
          <w:sz w:val="22"/>
          <w:szCs w:val="22"/>
        </w:rPr>
        <w:t>,</w:t>
      </w:r>
      <w:r w:rsidR="00905B51">
        <w:rPr>
          <w:sz w:val="22"/>
          <w:szCs w:val="22"/>
        </w:rPr>
        <w:t>8</w:t>
      </w:r>
      <w:r w:rsidR="00714287">
        <w:rPr>
          <w:sz w:val="22"/>
          <w:szCs w:val="22"/>
        </w:rPr>
        <w:t xml:space="preserve"> por ciento)</w:t>
      </w:r>
      <w:r w:rsidR="00B854E7">
        <w:rPr>
          <w:sz w:val="22"/>
          <w:szCs w:val="22"/>
        </w:rPr>
        <w:t>.</w:t>
      </w:r>
      <w:r w:rsidR="002808C3">
        <w:rPr>
          <w:sz w:val="22"/>
          <w:szCs w:val="22"/>
        </w:rPr>
        <w:t xml:space="preserve"> En contraste, se </w:t>
      </w:r>
      <w:r w:rsidR="00714287">
        <w:rPr>
          <w:sz w:val="22"/>
          <w:szCs w:val="22"/>
        </w:rPr>
        <w:t>contraj</w:t>
      </w:r>
      <w:r w:rsidR="00905B51">
        <w:rPr>
          <w:sz w:val="22"/>
          <w:szCs w:val="22"/>
        </w:rPr>
        <w:t>eron los</w:t>
      </w:r>
      <w:r w:rsidR="00714024">
        <w:rPr>
          <w:sz w:val="22"/>
          <w:szCs w:val="22"/>
        </w:rPr>
        <w:t xml:space="preserve"> s</w:t>
      </w:r>
      <w:r w:rsidR="002808C3">
        <w:rPr>
          <w:sz w:val="22"/>
          <w:szCs w:val="22"/>
        </w:rPr>
        <w:t>ector</w:t>
      </w:r>
      <w:r w:rsidR="00905B51">
        <w:rPr>
          <w:sz w:val="22"/>
          <w:szCs w:val="22"/>
        </w:rPr>
        <w:t xml:space="preserve">es </w:t>
      </w:r>
      <w:r w:rsidR="00475005">
        <w:rPr>
          <w:sz w:val="22"/>
          <w:szCs w:val="22"/>
        </w:rPr>
        <w:t>agropecuario (-</w:t>
      </w:r>
      <w:r w:rsidR="00905B51">
        <w:rPr>
          <w:sz w:val="22"/>
          <w:szCs w:val="22"/>
        </w:rPr>
        <w:t>1</w:t>
      </w:r>
      <w:r w:rsidR="00475005">
        <w:rPr>
          <w:sz w:val="22"/>
          <w:szCs w:val="22"/>
        </w:rPr>
        <w:t>,</w:t>
      </w:r>
      <w:r w:rsidR="00905B51">
        <w:rPr>
          <w:sz w:val="22"/>
          <w:szCs w:val="22"/>
        </w:rPr>
        <w:t>7</w:t>
      </w:r>
      <w:r w:rsidR="00475005">
        <w:rPr>
          <w:sz w:val="22"/>
          <w:szCs w:val="22"/>
        </w:rPr>
        <w:t xml:space="preserve"> por ciento)</w:t>
      </w:r>
      <w:r w:rsidR="00905B51">
        <w:rPr>
          <w:sz w:val="22"/>
          <w:szCs w:val="22"/>
        </w:rPr>
        <w:t xml:space="preserve"> y de hidrocarburos (-0,6 por ciento)</w:t>
      </w:r>
      <w:r w:rsidR="00FB6E97">
        <w:rPr>
          <w:sz w:val="22"/>
          <w:szCs w:val="22"/>
        </w:rPr>
        <w:t xml:space="preserve">. </w:t>
      </w:r>
    </w:p>
    <w:p w:rsidR="00714287" w:rsidRDefault="00714287" w:rsidP="0040195F">
      <w:pPr>
        <w:rPr>
          <w:sz w:val="22"/>
          <w:szCs w:val="22"/>
        </w:rPr>
        <w:sectPr w:rsidR="00714287" w:rsidSect="00714287">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905B51"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105" w:dyaOrig="6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pt;height:254.25pt" o:ole="">
            <v:imagedata r:id="rId14" o:title=""/>
          </v:shape>
          <o:OLEObject Type="Embed" ProgID="Excel.Sheet.8" ShapeID="_x0000_i1025" DrawAspect="Content" ObjectID="_1420468509"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8139D" w:rsidRDefault="00852557" w:rsidP="003E1A7E">
      <w:pPr>
        <w:numPr>
          <w:ilvl w:val="2"/>
          <w:numId w:val="10"/>
        </w:numPr>
        <w:rPr>
          <w:b/>
        </w:rPr>
      </w:pPr>
      <w:r w:rsidRPr="00897B2A">
        <w:rPr>
          <w:b/>
        </w:rPr>
        <w:lastRenderedPageBreak/>
        <w:t>Producción</w:t>
      </w:r>
      <w:r w:rsidRPr="0058139D">
        <w:rPr>
          <w:b/>
        </w:rPr>
        <w:t xml:space="preserve">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D64902" w:rsidRDefault="00D64902" w:rsidP="00D64902">
      <w:pPr>
        <w:pStyle w:val="Textoindependiente"/>
        <w:rPr>
          <w:rFonts w:ascii="Times" w:hAnsi="Times" w:cs="Arial"/>
          <w:sz w:val="22"/>
        </w:rPr>
      </w:pPr>
      <w:r>
        <w:rPr>
          <w:rFonts w:ascii="Times" w:hAnsi="Times" w:cs="Arial"/>
          <w:sz w:val="22"/>
        </w:rPr>
        <w:lastRenderedPageBreak/>
        <w:t xml:space="preserve">En noviembre, la </w:t>
      </w:r>
      <w:r>
        <w:rPr>
          <w:rFonts w:ascii="Times" w:hAnsi="Times" w:cs="Arial"/>
          <w:b/>
          <w:sz w:val="22"/>
        </w:rPr>
        <w:t>actividad agropecuaria</w:t>
      </w:r>
      <w:r>
        <w:rPr>
          <w:rFonts w:ascii="Times" w:hAnsi="Times" w:cs="Arial"/>
          <w:bCs/>
          <w:sz w:val="22"/>
        </w:rPr>
        <w:t xml:space="preserve"> </w:t>
      </w:r>
      <w:r>
        <w:rPr>
          <w:rFonts w:ascii="Times" w:hAnsi="Times" w:cs="Arial"/>
          <w:sz w:val="22"/>
        </w:rPr>
        <w:t xml:space="preserve">creció 13,0 por ciento con relación a igual mes del año anterior, merced a la expansión de los subsectores agrícola (14,2 por ciento)           </w:t>
      </w:r>
    </w:p>
    <w:p w:rsidR="00D64902" w:rsidRDefault="00D64902" w:rsidP="00D64902">
      <w:pPr>
        <w:pStyle w:val="Textoindependiente"/>
        <w:rPr>
          <w:rFonts w:ascii="Times" w:hAnsi="Times" w:cs="Arial"/>
          <w:sz w:val="22"/>
        </w:rPr>
      </w:pPr>
      <w:r>
        <w:rPr>
          <w:rFonts w:ascii="Times" w:hAnsi="Times" w:cs="Arial"/>
          <w:sz w:val="22"/>
        </w:rPr>
        <w:lastRenderedPageBreak/>
        <w:t xml:space="preserve">y pecuario (7,3 por ciento). No obstante, en lo que va del año, el sector se contrajo en 1,7 por ciento. </w:t>
      </w: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D64902"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92" w:dyaOrig="3070">
          <v:shape id="_x0000_i1026" type="#_x0000_t75" style="width:267.75pt;height:159.75pt" o:ole="">
            <v:imagedata r:id="rId16" o:title=""/>
            <o:lock v:ext="edit" aspectratio="f"/>
          </v:shape>
          <o:OLEObject Type="Embed" ProgID="Excel.Sheet.12" ShapeID="_x0000_i1026" DrawAspect="Content" ObjectID="_1420468510" r:id="rId17"/>
        </w:object>
      </w:r>
    </w:p>
    <w:p w:rsidR="00675AA8" w:rsidRDefault="00CE7ABC" w:rsidP="00D61BDC">
      <w:pPr>
        <w:pStyle w:val="Textoindependiente"/>
        <w:rPr>
          <w:rFonts w:ascii="Times" w:hAnsi="Times" w:cs="Arial"/>
          <w:bCs/>
          <w:sz w:val="22"/>
        </w:rPr>
      </w:pPr>
      <w:r w:rsidRPr="00CE7ABC">
        <w:rPr>
          <w:noProof/>
          <w:lang w:val="es-PE" w:eastAsia="es-PE"/>
        </w:rPr>
        <w:lastRenderedPageBreak/>
        <w:pict>
          <v:shape id="_x0000_s1603" type="#_x0000_t202" style="position:absolute;left:0;text-align:left;margin-left:-4.75pt;margin-top:12.25pt;width:445.15pt;height:45.75pt;z-index:251665920;mso-width-relative:margin;mso-height-relative:margin" stroked="f">
            <v:textbox style="mso-next-textbox:#_x0000_s1603">
              <w:txbxContent>
                <w:p w:rsidR="006913BD" w:rsidRPr="00E63ED3" w:rsidRDefault="006913BD"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7,</w:t>
                  </w:r>
                  <w:r w:rsidR="00905B51">
                    <w:rPr>
                      <w:sz w:val="16"/>
                      <w:szCs w:val="16"/>
                    </w:rPr>
                    <w:t>9</w:t>
                  </w:r>
                  <w:r>
                    <w:rPr>
                      <w:sz w:val="16"/>
                      <w:szCs w:val="16"/>
                    </w:rPr>
                    <w:t xml:space="preserve">  por ciento, pero como su peso relativo en el PBI es de 58,5 por ciento, su aporte al crecimiento regional es de 4,</w:t>
                  </w:r>
                  <w:r w:rsidR="00905B51">
                    <w:rPr>
                      <w:sz w:val="16"/>
                      <w:szCs w:val="16"/>
                    </w:rPr>
                    <w:t>6</w:t>
                  </w:r>
                  <w:r>
                    <w:rPr>
                      <w:sz w:val="16"/>
                      <w:szCs w:val="16"/>
                    </w:rPr>
                    <w:t xml:space="preserve"> por ciento (7,</w:t>
                  </w:r>
                  <w:r w:rsidR="00905B51">
                    <w:rPr>
                      <w:sz w:val="16"/>
                      <w:szCs w:val="16"/>
                    </w:rPr>
                    <w:t>9</w:t>
                  </w:r>
                  <w:r>
                    <w:rPr>
                      <w:sz w:val="16"/>
                      <w:szCs w:val="16"/>
                    </w:rPr>
                    <w:t>%  x 0.585).</w:t>
                  </w:r>
                </w:p>
              </w:txbxContent>
            </v:textbox>
          </v:shape>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D64902" w:rsidP="00D33F31">
      <w:pPr>
        <w:pStyle w:val="Textoindependiente"/>
        <w:jc w:val="center"/>
      </w:pPr>
      <w:r>
        <w:object w:dxaOrig="7738" w:dyaOrig="6394">
          <v:shape id="_x0000_i1027" type="#_x0000_t75" style="width:369pt;height:330pt" o:ole="">
            <v:imagedata r:id="rId18" o:title=""/>
            <o:lock v:ext="edit" aspectratio="f"/>
          </v:shape>
          <o:OLEObject Type="Embed" ProgID="Excel.Sheet.12" ShapeID="_x0000_i1027" DrawAspect="Content" ObjectID="_1420468511"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AE42EA" w:rsidRDefault="00AE42EA" w:rsidP="00D61BDC">
      <w:pPr>
        <w:rPr>
          <w:sz w:val="22"/>
        </w:rPr>
      </w:pPr>
    </w:p>
    <w:p w:rsidR="009F349E" w:rsidRDefault="009F349E" w:rsidP="00D61BDC">
      <w:pPr>
        <w:rPr>
          <w:sz w:val="22"/>
        </w:rPr>
        <w:sectPr w:rsidR="009F349E" w:rsidSect="00AE42EA">
          <w:type w:val="continuous"/>
          <w:pgSz w:w="11906" w:h="16838"/>
          <w:pgMar w:top="1418" w:right="1701" w:bottom="1276" w:left="1701" w:header="720" w:footer="720" w:gutter="0"/>
          <w:cols w:space="720"/>
        </w:sectPr>
      </w:pPr>
    </w:p>
    <w:p w:rsidR="00D64902" w:rsidRDefault="00D64902" w:rsidP="00D64902">
      <w:pPr>
        <w:rPr>
          <w:sz w:val="22"/>
          <w:szCs w:val="22"/>
        </w:rPr>
      </w:pPr>
      <w:r>
        <w:rPr>
          <w:sz w:val="22"/>
        </w:rPr>
        <w:lastRenderedPageBreak/>
        <w:t xml:space="preserve">El desempeño positivo del subsector agrícola obedeció básicamente al incremento en la producción de arroz (163,9 por ciento), mango (14,7 por ciento) y uva (58,9 por ciento). En el primer caso, se explica por mayores siembras en campaña chica y una ejecución más </w:t>
      </w:r>
      <w:r>
        <w:rPr>
          <w:sz w:val="22"/>
        </w:rPr>
        <w:lastRenderedPageBreak/>
        <w:t>adelantada de ésta. En lo relativo al mango, se observa un efecto de rebote, dado que la campaña anterior fue mala. Por último, el comportamiento favorable de la uva refleja la expansión de las áreas de este cultivo merced a una demanda externa auspiciosa y condiciones climáticas propicias.</w:t>
      </w:r>
    </w:p>
    <w:p w:rsidR="00147380" w:rsidRDefault="00147380" w:rsidP="00AE42EA">
      <w:pPr>
        <w:rPr>
          <w:sz w:val="22"/>
          <w:szCs w:val="22"/>
        </w:rPr>
        <w:sectPr w:rsidR="00147380" w:rsidSect="007C0329">
          <w:headerReference w:type="default" r:id="rId22"/>
          <w:footerReference w:type="default" r:id="rId23"/>
          <w:type w:val="continuous"/>
          <w:pgSz w:w="11906" w:h="16838"/>
          <w:pgMar w:top="1418" w:right="1701" w:bottom="1276" w:left="1701" w:header="720" w:footer="720" w:gutter="0"/>
          <w:cols w:num="2" w:space="709"/>
        </w:sectPr>
      </w:pPr>
    </w:p>
    <w:p w:rsidR="006D41CC" w:rsidRDefault="006D41CC" w:rsidP="00AE42EA">
      <w:pPr>
        <w:rPr>
          <w:sz w:val="22"/>
          <w:szCs w:val="22"/>
        </w:rPr>
      </w:pPr>
    </w:p>
    <w:p w:rsidR="006D41CC" w:rsidRDefault="006D41CC" w:rsidP="00AE42EA">
      <w:pPr>
        <w:rPr>
          <w:sz w:val="22"/>
          <w:szCs w:val="22"/>
        </w:rPr>
      </w:pPr>
    </w:p>
    <w:p w:rsidR="009F349E" w:rsidRDefault="009F349E" w:rsidP="00AE42EA">
      <w:pPr>
        <w:rPr>
          <w:sz w:val="22"/>
          <w:szCs w:val="22"/>
        </w:rPr>
        <w:sectPr w:rsidR="009F349E" w:rsidSect="006D41CC">
          <w:type w:val="continuous"/>
          <w:pgSz w:w="11906" w:h="16838"/>
          <w:pgMar w:top="1418" w:right="1701" w:bottom="1276" w:left="1701" w:header="720" w:footer="720" w:gutter="0"/>
          <w:cols w:space="709"/>
        </w:sectPr>
      </w:pPr>
    </w:p>
    <w:p w:rsidR="006D41CC" w:rsidRDefault="00D64902" w:rsidP="00AE42EA">
      <w:pPr>
        <w:rPr>
          <w:sz w:val="22"/>
          <w:szCs w:val="22"/>
        </w:rPr>
      </w:pPr>
      <w:r>
        <w:object w:dxaOrig="4279" w:dyaOrig="3480">
          <v:shape id="_x0000_i1028" type="#_x0000_t75" style="width:202.5pt;height:179.25pt" o:ole="">
            <v:imagedata r:id="rId24" o:title=""/>
          </v:shape>
          <o:OLEObject Type="Embed" ProgID="Excel.Sheet.8" ShapeID="_x0000_i1028" DrawAspect="Content" ObjectID="_1420468512" r:id="rId25"/>
        </w:object>
      </w:r>
    </w:p>
    <w:p w:rsidR="00551565" w:rsidRDefault="00D64902" w:rsidP="00AE42EA">
      <w:pPr>
        <w:rPr>
          <w:sz w:val="22"/>
          <w:szCs w:val="22"/>
        </w:rPr>
      </w:pPr>
      <w:r>
        <w:object w:dxaOrig="4279" w:dyaOrig="3480">
          <v:shape id="_x0000_i1029" type="#_x0000_t75" style="width:202.5pt;height:179.25pt" o:ole="">
            <v:imagedata r:id="rId26" o:title=""/>
          </v:shape>
          <o:OLEObject Type="Embed" ProgID="Excel.Sheet.8" ShapeID="_x0000_i1029" DrawAspect="Content" ObjectID="_1420468513" r:id="rId27"/>
        </w:object>
      </w:r>
    </w:p>
    <w:p w:rsidR="00602E1C" w:rsidRDefault="00602E1C" w:rsidP="00AE42EA">
      <w:pPr>
        <w:rPr>
          <w:sz w:val="22"/>
          <w:szCs w:val="22"/>
        </w:rPr>
      </w:pPr>
    </w:p>
    <w:p w:rsidR="00551565" w:rsidRDefault="00551565" w:rsidP="00165A89">
      <w:pPr>
        <w:rPr>
          <w:sz w:val="22"/>
        </w:rPr>
        <w:sectPr w:rsidR="00551565" w:rsidSect="00165A89">
          <w:type w:val="continuous"/>
          <w:pgSz w:w="11906" w:h="16838"/>
          <w:pgMar w:top="1418" w:right="1701" w:bottom="1276" w:left="1701" w:header="720" w:footer="720" w:gutter="0"/>
          <w:cols w:num="2" w:space="709"/>
        </w:sectPr>
      </w:pPr>
    </w:p>
    <w:p w:rsidR="00907111" w:rsidRDefault="00907111" w:rsidP="00D61BDC">
      <w:pPr>
        <w:rPr>
          <w:sz w:val="22"/>
          <w:szCs w:val="22"/>
        </w:rPr>
        <w:sectPr w:rsidR="00907111" w:rsidSect="00165A89">
          <w:headerReference w:type="default" r:id="rId28"/>
          <w:footerReference w:type="default" r:id="rId29"/>
          <w:type w:val="continuous"/>
          <w:pgSz w:w="11906" w:h="16838"/>
          <w:pgMar w:top="1418" w:right="1701" w:bottom="1276" w:left="1701" w:header="720" w:footer="720" w:gutter="0"/>
          <w:cols w:space="709"/>
        </w:sectPr>
      </w:pPr>
    </w:p>
    <w:p w:rsidR="00165A89" w:rsidRDefault="00165A89" w:rsidP="00AE42EA">
      <w:pPr>
        <w:rPr>
          <w:sz w:val="22"/>
        </w:rPr>
        <w:sectPr w:rsidR="00165A89">
          <w:headerReference w:type="default" r:id="rId30"/>
          <w:footerReference w:type="default" r:id="rId31"/>
          <w:type w:val="continuous"/>
          <w:pgSz w:w="11906" w:h="16838"/>
          <w:pgMar w:top="1418" w:right="1701" w:bottom="1276" w:left="1701" w:header="720" w:footer="720" w:gutter="0"/>
          <w:cols w:space="720"/>
        </w:sectPr>
      </w:pPr>
    </w:p>
    <w:p w:rsidR="00D61BDC" w:rsidRDefault="00D64902" w:rsidP="00D61BDC">
      <w:pPr>
        <w:jc w:val="center"/>
        <w:rPr>
          <w:sz w:val="22"/>
        </w:rPr>
      </w:pPr>
      <w:r w:rsidRPr="00DA408E">
        <w:rPr>
          <w:sz w:val="22"/>
        </w:rPr>
        <w:object w:dxaOrig="5710" w:dyaOrig="3481">
          <v:shape id="_x0000_i1030" type="#_x0000_t75" style="width:272.25pt;height:179.25pt" o:ole="">
            <v:imagedata r:id="rId32" o:title=""/>
          </v:shape>
          <o:OLEObject Type="Embed" ProgID="Excel.Sheet.8" ShapeID="_x0000_i1030" DrawAspect="Content" ObjectID="_1420468514" r:id="rId33"/>
        </w:obje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pPr>
    </w:p>
    <w:p w:rsidR="005248D1" w:rsidRDefault="005248D1" w:rsidP="00D61BDC">
      <w:pPr>
        <w:rPr>
          <w:rFonts w:ascii="Times" w:hAnsi="Times" w:cs="Arial"/>
          <w:sz w:val="22"/>
        </w:rPr>
        <w:sectPr w:rsidR="005248D1">
          <w:type w:val="continuous"/>
          <w:pgSz w:w="11906" w:h="16838"/>
          <w:pgMar w:top="1418" w:right="1701" w:bottom="1276" w:left="1701" w:header="720" w:footer="720" w:gutter="0"/>
          <w:cols w:space="720"/>
        </w:sectPr>
      </w:pPr>
    </w:p>
    <w:p w:rsidR="00E05090" w:rsidRDefault="00D64902" w:rsidP="00D64902">
      <w:pPr>
        <w:rPr>
          <w:sz w:val="22"/>
          <w:szCs w:val="22"/>
        </w:rPr>
        <w:sectPr w:rsidR="00E05090">
          <w:headerReference w:type="default" r:id="rId34"/>
          <w:footerReference w:type="default" r:id="rId35"/>
          <w:type w:val="continuous"/>
          <w:pgSz w:w="11906" w:h="16838"/>
          <w:pgMar w:top="1418" w:right="1701" w:bottom="1276" w:left="1701" w:header="720" w:footer="720" w:gutter="0"/>
          <w:cols w:num="2" w:space="709"/>
        </w:sectPr>
      </w:pPr>
      <w:r>
        <w:rPr>
          <w:rFonts w:ascii="Times" w:hAnsi="Times" w:cs="Arial"/>
          <w:sz w:val="22"/>
        </w:rPr>
        <w:lastRenderedPageBreak/>
        <w:t xml:space="preserve">En el mes bajo análisis, los </w:t>
      </w:r>
      <w:r>
        <w:rPr>
          <w:rFonts w:ascii="Times" w:hAnsi="Times" w:cs="Arial"/>
          <w:b/>
          <w:bCs/>
          <w:sz w:val="22"/>
        </w:rPr>
        <w:t>precios en chacra</w:t>
      </w:r>
      <w:r>
        <w:rPr>
          <w:rFonts w:ascii="Times" w:hAnsi="Times" w:cs="Arial"/>
          <w:sz w:val="22"/>
        </w:rPr>
        <w:t xml:space="preserve"> mostraron comportamientos mixtos respecto de similar período del año anterior, pero predominaron las caídas en los </w:t>
      </w:r>
      <w:r>
        <w:rPr>
          <w:rFonts w:ascii="Times" w:hAnsi="Times" w:cs="Arial"/>
          <w:sz w:val="22"/>
        </w:rPr>
        <w:lastRenderedPageBreak/>
        <w:t xml:space="preserve">principales cultivos. Así, disminuyeron los precios del arroz (-23,6 por ciento), limón  (-43,4 por ciento), mango (-45,7 por ciento) y plátano (-15,4 por ciento).      </w:t>
      </w: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D64902"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800064" behindDoc="0" locked="0" layoutInCell="1" allowOverlap="1">
            <wp:simplePos x="0" y="0"/>
            <wp:positionH relativeFrom="column">
              <wp:posOffset>3244215</wp:posOffset>
            </wp:positionH>
            <wp:positionV relativeFrom="paragraph">
              <wp:posOffset>441960</wp:posOffset>
            </wp:positionV>
            <wp:extent cx="2295525" cy="2447925"/>
            <wp:effectExtent l="19050" t="0" r="9525" b="0"/>
            <wp:wrapSquare wrapText="bothSides"/>
            <wp:docPr id="3226" name="Imagen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36" cstate="print"/>
                    <a:srcRect/>
                    <a:stretch>
                      <a:fillRect/>
                    </a:stretch>
                  </pic:blipFill>
                  <pic:spPr bwMode="auto">
                    <a:xfrm>
                      <a:off x="0" y="0"/>
                      <a:ext cx="2295525" cy="2447925"/>
                    </a:xfrm>
                    <a:prstGeom prst="rect">
                      <a:avLst/>
                    </a:prstGeom>
                    <a:noFill/>
                    <a:ln w="9525">
                      <a:noFill/>
                      <a:miter lim="800000"/>
                      <a:headEnd/>
                      <a:tailEnd/>
                    </a:ln>
                  </pic:spPr>
                </pic:pic>
              </a:graphicData>
            </a:graphic>
          </wp:anchor>
        </w:drawing>
      </w:r>
      <w:r>
        <w:object w:dxaOrig="4415" w:dyaOrig="6034">
          <v:shape id="_x0000_i1031" type="#_x0000_t75" style="width:210pt;height:311.25pt" o:ole="">
            <v:imagedata r:id="rId37" o:title=""/>
            <o:lock v:ext="edit" aspectratio="f"/>
          </v:shape>
          <o:OLEObject Type="Embed" ProgID="Excel.Sheet.12" ShapeID="_x0000_i1031" DrawAspect="Content" ObjectID="_1420468515" r:id="rId38"/>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D64902" w:rsidP="00D61BDC">
      <w:pPr>
        <w:pStyle w:val="Textoindependiente2"/>
        <w:jc w:val="center"/>
        <w:rPr>
          <w:rFonts w:ascii="Helvetica" w:hAnsi="Helvetica"/>
          <w:sz w:val="22"/>
          <w:szCs w:val="22"/>
        </w:rPr>
      </w:pPr>
      <w:r w:rsidRPr="00DA408E">
        <w:rPr>
          <w:rFonts w:ascii="Helvetica" w:hAnsi="Helvetica"/>
          <w:sz w:val="22"/>
          <w:szCs w:val="22"/>
        </w:rPr>
        <w:object w:dxaOrig="5460" w:dyaOrig="3236">
          <v:shape id="_x0000_i1032" type="#_x0000_t75" style="width:260.25pt;height:168.75pt" o:ole="">
            <v:imagedata r:id="rId39" o:title=""/>
            <o:lock v:ext="edit" aspectratio="f"/>
          </v:shape>
          <o:OLEObject Type="Embed" ProgID="Excel.Sheet.12" ShapeID="_x0000_i1032" DrawAspect="Content" ObjectID="_1420468516" r:id="rId40"/>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126EC3" w:rsidRDefault="00D64902" w:rsidP="00F50699">
      <w:pPr>
        <w:pStyle w:val="Textoindependiente"/>
        <w:rPr>
          <w:rFonts w:ascii="Times" w:hAnsi="Times" w:cs="Times"/>
          <w:sz w:val="22"/>
          <w:szCs w:val="22"/>
        </w:rPr>
      </w:pPr>
      <w:r>
        <w:rPr>
          <w:rFonts w:ascii="Times" w:hAnsi="Times" w:cs="Times"/>
          <w:sz w:val="22"/>
          <w:szCs w:val="22"/>
        </w:rPr>
        <w:lastRenderedPageBreak/>
        <w:t xml:space="preserve">En un contexto de adecuada disponibilidad de agua, durante el mes se instalaron 3 429 hectáreas de cultivos transitorios, lo que supuso un incremento del 7,7 por ciento en relación con similar período del año previo. Esto se explica por la mayor superficie sembrada en la sierra de cultivos tales como </w:t>
      </w:r>
      <w:r>
        <w:rPr>
          <w:rFonts w:ascii="Times" w:hAnsi="Times" w:cs="Times"/>
          <w:sz w:val="22"/>
          <w:szCs w:val="22"/>
        </w:rPr>
        <w:lastRenderedPageBreak/>
        <w:t>maíz amiláceo, papa y frijol grano seco. De este modo, en lo que va de la campaña agrícola (agosto-noviembre) se observa una expansión del 11,1 por ciento en las áreas ejecutadas, siendo destacable el incremento en arroz (27,2 por ciento).</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DD02AC" w:rsidRDefault="00DD02AC" w:rsidP="00D804CE">
      <w:pPr>
        <w:pStyle w:val="Textoindependiente"/>
        <w:rPr>
          <w:rFonts w:ascii="Times" w:hAnsi="Times" w:cs="Times"/>
          <w:sz w:val="22"/>
          <w:szCs w:val="22"/>
        </w:rPr>
      </w:pPr>
    </w:p>
    <w:p w:rsidR="00126EC3" w:rsidRDefault="00126EC3" w:rsidP="00D804CE">
      <w:pPr>
        <w:pStyle w:val="Textoindependiente"/>
        <w:rPr>
          <w:rFonts w:ascii="Times" w:hAnsi="Times" w:cs="Times"/>
          <w:sz w:val="22"/>
          <w:szCs w:val="22"/>
        </w:rPr>
      </w:pPr>
    </w:p>
    <w:p w:rsidR="00AE42EA" w:rsidRDefault="00AE42EA" w:rsidP="00D804CE">
      <w:pPr>
        <w:pStyle w:val="Textoindependiente"/>
        <w:rPr>
          <w:rFonts w:ascii="Times" w:hAnsi="Times" w:cs="Times"/>
          <w:sz w:val="22"/>
          <w:szCs w:val="22"/>
        </w:rPr>
      </w:pPr>
    </w:p>
    <w:p w:rsidR="00A91503" w:rsidRDefault="00A91503" w:rsidP="00D804CE">
      <w:pPr>
        <w:pStyle w:val="Textoindependiente"/>
        <w:rPr>
          <w:rFonts w:ascii="Times" w:hAnsi="Times" w:cs="Times"/>
          <w:sz w:val="22"/>
          <w:szCs w:val="22"/>
        </w:rPr>
        <w:sectPr w:rsidR="00A91503" w:rsidSect="00DD1094">
          <w:type w:val="continuous"/>
          <w:pgSz w:w="11906" w:h="16838"/>
          <w:pgMar w:top="1418" w:right="1701" w:bottom="1276" w:left="1701" w:header="720" w:footer="720" w:gutter="0"/>
          <w:cols w:num="2" w:space="709"/>
        </w:sectPr>
      </w:pPr>
    </w:p>
    <w:p w:rsidR="00E15A60" w:rsidRDefault="00D82760"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68" w:dyaOrig="6668">
          <v:shape id="_x0000_i1033" type="#_x0000_t75" style="width:341.25pt;height:343.5pt" o:ole="">
            <v:imagedata r:id="rId41" o:title=""/>
            <o:lock v:ext="edit" aspectratio="f"/>
          </v:shape>
          <o:OLEObject Type="Embed" ProgID="Excel.Sheet.12" ShapeID="_x0000_i1033" DrawAspect="Content" ObjectID="_1420468517" r:id="rId42"/>
        </w:object>
      </w:r>
    </w:p>
    <w:p w:rsidR="00D61BDC" w:rsidRDefault="00D61BDC"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sectPr w:rsidR="00AE42EA" w:rsidSect="00E15A60">
          <w:type w:val="continuous"/>
          <w:pgSz w:w="11906" w:h="16838"/>
          <w:pgMar w:top="1418" w:right="1701" w:bottom="1276" w:left="1701" w:header="720" w:footer="720" w:gutter="0"/>
          <w:cols w:space="709"/>
        </w:sectPr>
      </w:pPr>
    </w:p>
    <w:p w:rsidR="00A91503" w:rsidRDefault="00A91503" w:rsidP="00E15A60">
      <w:pPr>
        <w:rPr>
          <w:lang w:val="es-MX"/>
        </w:rPr>
      </w:pPr>
    </w:p>
    <w:p w:rsidR="00D64902" w:rsidRDefault="00D64902" w:rsidP="00E15A60">
      <w:pPr>
        <w:rPr>
          <w:lang w:val="es-MX"/>
        </w:rPr>
      </w:pPr>
    </w:p>
    <w:p w:rsidR="00D64902" w:rsidRDefault="00D64902" w:rsidP="00E15A60">
      <w:pPr>
        <w:rPr>
          <w:lang w:val="es-MX"/>
        </w:rPr>
      </w:pPr>
    </w:p>
    <w:p w:rsidR="00D64902" w:rsidRDefault="00D64902" w:rsidP="00E15A60">
      <w:pPr>
        <w:rPr>
          <w:lang w:val="es-MX"/>
        </w:rPr>
      </w:pPr>
    </w:p>
    <w:p w:rsidR="00D64902" w:rsidRDefault="00D64902" w:rsidP="00D64902">
      <w:pPr>
        <w:rPr>
          <w:sz w:val="22"/>
        </w:rPr>
      </w:pPr>
      <w:r>
        <w:rPr>
          <w:sz w:val="22"/>
        </w:rPr>
        <w:lastRenderedPageBreak/>
        <w:t xml:space="preserve">En el mes, la actividad pecuaria registró una expansión del 7,3 por ciento respecto de noviembre de 2011. Esto responde a la mayor producción de todas las especies </w:t>
      </w:r>
      <w:r>
        <w:rPr>
          <w:sz w:val="22"/>
        </w:rPr>
        <w:lastRenderedPageBreak/>
        <w:t>cárnicas, así como de huevos y leche. En particular, la producción de carne de ave se incrementó 4,6 por ciento y la de vacunos, en 7,1 por ciento.</w:t>
      </w:r>
    </w:p>
    <w:p w:rsidR="00D64902" w:rsidRDefault="00D64902" w:rsidP="00E15A60">
      <w:pPr>
        <w:rPr>
          <w:lang w:val="es-MX"/>
        </w:rPr>
        <w:sectPr w:rsidR="00D64902"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921616" w:rsidRDefault="00921616" w:rsidP="00E15A60">
      <w:pPr>
        <w:rPr>
          <w:lang w:val="es-MX"/>
        </w:rPr>
      </w:pPr>
    </w:p>
    <w:p w:rsidR="00E15A60" w:rsidRPr="00E15A60" w:rsidRDefault="00D64902" w:rsidP="00E15A60">
      <w:pPr>
        <w:jc w:val="center"/>
        <w:rPr>
          <w:lang w:val="es-MX"/>
        </w:rPr>
      </w:pPr>
      <w:r>
        <w:object w:dxaOrig="6874" w:dyaOrig="3699">
          <v:shape id="_x0000_i1034" type="#_x0000_t75" style="width:318pt;height:192.75pt" o:ole="">
            <v:imagedata r:id="rId43" o:title=""/>
            <o:lock v:ext="edit" aspectratio="f"/>
          </v:shape>
          <o:OLEObject Type="Embed" ProgID="Excel.Sheet.12" ShapeID="_x0000_i1034" DrawAspect="Content" ObjectID="_1420468518" r:id="rId44"/>
        </w:object>
      </w:r>
    </w:p>
    <w:p w:rsidR="00E15A60" w:rsidRDefault="00E15A60" w:rsidP="00E15A60">
      <w:pPr>
        <w:rPr>
          <w:lang w:val="es-MX"/>
        </w:rPr>
      </w:pPr>
    </w:p>
    <w:p w:rsidR="00921616" w:rsidRPr="00E15A60" w:rsidRDefault="00921616" w:rsidP="00E15A60">
      <w:pPr>
        <w:rPr>
          <w:lang w:val="es-MX"/>
        </w:rPr>
      </w:pPr>
    </w:p>
    <w:p w:rsidR="00D61BDC" w:rsidRDefault="00897B2A"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764B24">
        <w:rPr>
          <w:rFonts w:ascii="Helvetica" w:hAnsi="Helvetica"/>
          <w:b/>
          <w:sz w:val="22"/>
          <w:szCs w:val="22"/>
          <w:lang w:val="en-US"/>
        </w:rPr>
        <w:object w:dxaOrig="4526" w:dyaOrig="3234">
          <v:shape id="_x0000_i1035" type="#_x0000_t75" style="width:215.25pt;height:167.25pt" o:ole="">
            <v:imagedata r:id="rId45" o:title=""/>
          </v:shape>
          <o:OLEObject Type="Embed" ProgID="Excel.Sheet.8" ShapeID="_x0000_i1035" DrawAspect="Content" ObjectID="_1420468519" r:id="rId46"/>
        </w:object>
      </w:r>
    </w:p>
    <w:p w:rsidR="00E15A60" w:rsidRDefault="00E15A60" w:rsidP="00E15A60"/>
    <w:p w:rsidR="00921616" w:rsidRDefault="00921616" w:rsidP="00E15A60"/>
    <w:p w:rsidR="00E15A60" w:rsidRDefault="00D64902" w:rsidP="00E15A60">
      <w:pPr>
        <w:rPr>
          <w:lang w:val="es-MX"/>
        </w:rPr>
      </w:pPr>
      <w:r>
        <w:object w:dxaOrig="3615" w:dyaOrig="3585">
          <v:shape id="_x0000_i1036" type="#_x0000_t75" style="width:172.5pt;height:184.5pt" o:ole="">
            <v:imagedata r:id="rId47" o:title=""/>
            <o:lock v:ext="edit" aspectratio="f"/>
          </v:shape>
          <o:OLEObject Type="Embed" ProgID="Excel.Sheet.8" ShapeID="_x0000_i1036" DrawAspect="Content" ObjectID="_1420468520" r:id="rId48"/>
        </w:object>
      </w:r>
      <w:r w:rsidR="00E15A60">
        <w:t xml:space="preserve">    </w:t>
      </w:r>
      <w:r w:rsidR="00E15A60">
        <w:tab/>
      </w:r>
      <w:r>
        <w:object w:dxaOrig="3869" w:dyaOrig="3480">
          <v:shape id="_x0000_i1037" type="#_x0000_t75" style="width:193.5pt;height:173.25pt" o:ole="">
            <v:imagedata r:id="rId49" o:title=""/>
            <o:lock v:ext="edit" aspectratio="f"/>
          </v:shape>
          <o:OLEObject Type="Embed" ProgID="Excel.Sheet.8" ShapeID="_x0000_i1037" DrawAspect="Content" ObjectID="_1420468521" r:id="rId50"/>
        </w:object>
      </w:r>
    </w:p>
    <w:p w:rsidR="00165A89" w:rsidRDefault="00165A89" w:rsidP="00165A89">
      <w:pPr>
        <w:rPr>
          <w:sz w:val="22"/>
        </w:rPr>
        <w:sectPr w:rsidR="00165A89" w:rsidSect="00E15A60">
          <w:type w:val="continuous"/>
          <w:pgSz w:w="11906" w:h="16838"/>
          <w:pgMar w:top="1418" w:right="1701" w:bottom="1276" w:left="1701" w:header="720" w:footer="720" w:gutter="0"/>
          <w:cols w:space="709"/>
        </w:sectPr>
      </w:pPr>
    </w:p>
    <w:p w:rsidR="00E50D75" w:rsidRDefault="00E50D75" w:rsidP="00E50D75">
      <w:pPr>
        <w:rPr>
          <w:b/>
        </w:rPr>
      </w:pPr>
      <w:r w:rsidRPr="00273656">
        <w:rPr>
          <w:b/>
        </w:rPr>
        <w:lastRenderedPageBreak/>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51"/>
          <w:footerReference w:type="first" r:id="rId52"/>
          <w:type w:val="continuous"/>
          <w:pgSz w:w="11907" w:h="16840" w:code="9"/>
          <w:pgMar w:top="1701" w:right="1418" w:bottom="1418" w:left="1701" w:header="1134" w:footer="1134" w:gutter="0"/>
          <w:paperSrc w:first="15"/>
          <w:cols w:space="709"/>
          <w:titlePg/>
        </w:sectPr>
      </w:pPr>
    </w:p>
    <w:p w:rsidR="00273656" w:rsidRPr="00DA797F" w:rsidRDefault="00273656" w:rsidP="00273656">
      <w:pPr>
        <w:rPr>
          <w:sz w:val="22"/>
          <w:szCs w:val="22"/>
        </w:rPr>
      </w:pPr>
      <w:r w:rsidRPr="00DA797F">
        <w:rPr>
          <w:sz w:val="22"/>
          <w:szCs w:val="22"/>
        </w:rPr>
        <w:lastRenderedPageBreak/>
        <w:t xml:space="preserve">En noviembre, la </w:t>
      </w:r>
      <w:r w:rsidRPr="00DA797F">
        <w:rPr>
          <w:b/>
          <w:bCs/>
          <w:sz w:val="22"/>
          <w:szCs w:val="22"/>
        </w:rPr>
        <w:t xml:space="preserve">producción pesquera </w:t>
      </w:r>
      <w:r w:rsidRPr="00DA797F">
        <w:rPr>
          <w:sz w:val="22"/>
          <w:szCs w:val="22"/>
        </w:rPr>
        <w:t>creció en 39,4 por ciento respecto de igual mes del año anterior, por el incremento en el  desembarque para congelado (106,7 por ciento) y fresco (6,7 por ciento), que contrarrestó la caída en enlatado (-100,0 por ciento)</w:t>
      </w:r>
      <w:r w:rsidR="00DA797F">
        <w:rPr>
          <w:sz w:val="22"/>
          <w:szCs w:val="22"/>
        </w:rPr>
        <w:t xml:space="preserve"> y harina (-100,0 por ciento)</w:t>
      </w:r>
      <w:r w:rsidRPr="00DA797F">
        <w:rPr>
          <w:sz w:val="22"/>
          <w:szCs w:val="22"/>
        </w:rPr>
        <w:t>.</w:t>
      </w:r>
    </w:p>
    <w:p w:rsidR="00273656" w:rsidRPr="00DA797F" w:rsidRDefault="00273656" w:rsidP="00273656">
      <w:pPr>
        <w:rPr>
          <w:sz w:val="22"/>
          <w:szCs w:val="22"/>
        </w:rPr>
      </w:pPr>
    </w:p>
    <w:p w:rsidR="00273656" w:rsidRPr="00DA797F" w:rsidRDefault="00273656" w:rsidP="00273656">
      <w:pPr>
        <w:rPr>
          <w:sz w:val="22"/>
          <w:szCs w:val="22"/>
        </w:rPr>
      </w:pPr>
      <w:r w:rsidRPr="00DA797F">
        <w:rPr>
          <w:sz w:val="22"/>
          <w:szCs w:val="22"/>
        </w:rPr>
        <w:t xml:space="preserve">Según la Resolución Ministerial N° 457-2012-PRODUCE, el día 22 de noviembre se inició la segunda temporada de pesca de anchoveta en la zona comprendida entre el extremo norte del dominio marítimo del Perú y los 16°00’ latitud sur. Sin embargo, debido </w:t>
      </w:r>
      <w:r w:rsidRPr="00DA797F">
        <w:rPr>
          <w:sz w:val="22"/>
          <w:szCs w:val="22"/>
        </w:rPr>
        <w:lastRenderedPageBreak/>
        <w:t>a la alta incidencia de especímenes juveniles, se suspendió el día 30 de noviembre, por un lapso de 20 días.</w:t>
      </w:r>
    </w:p>
    <w:p w:rsidR="00273656" w:rsidRPr="00DA797F" w:rsidRDefault="00273656" w:rsidP="00273656">
      <w:pPr>
        <w:rPr>
          <w:sz w:val="22"/>
          <w:szCs w:val="22"/>
        </w:rPr>
      </w:pPr>
    </w:p>
    <w:p w:rsidR="00273656" w:rsidRPr="00DA797F" w:rsidRDefault="00273656" w:rsidP="00273656">
      <w:pPr>
        <w:rPr>
          <w:sz w:val="22"/>
          <w:szCs w:val="22"/>
        </w:rPr>
      </w:pPr>
      <w:r w:rsidRPr="00DA797F">
        <w:rPr>
          <w:sz w:val="22"/>
          <w:szCs w:val="22"/>
        </w:rPr>
        <w:t>Cabe señalar que esta temporada terminará una vez alcanzado el Límite Máximo Total de Captura Permisible (810 mil toneladas), no pudiendo exceder del 31 de enero de 2013.</w:t>
      </w:r>
    </w:p>
    <w:p w:rsidR="00273656" w:rsidRPr="00DA797F" w:rsidRDefault="00273656" w:rsidP="00273656">
      <w:pPr>
        <w:rPr>
          <w:sz w:val="22"/>
          <w:szCs w:val="22"/>
        </w:rPr>
      </w:pPr>
    </w:p>
    <w:p w:rsidR="00273656" w:rsidRPr="00DA797F" w:rsidRDefault="00273656" w:rsidP="00273656">
      <w:pPr>
        <w:rPr>
          <w:sz w:val="22"/>
          <w:szCs w:val="22"/>
        </w:rPr>
      </w:pPr>
      <w:r w:rsidRPr="00DA797F">
        <w:rPr>
          <w:sz w:val="22"/>
          <w:szCs w:val="22"/>
        </w:rPr>
        <w:t xml:space="preserve">En el período enero-noviembre, el sector creció en 9,5 por ciento respecto de análogo lapso del año previo. </w:t>
      </w:r>
    </w:p>
    <w:p w:rsidR="00273656" w:rsidRDefault="00273656" w:rsidP="00273656">
      <w:pPr>
        <w:rPr>
          <w:sz w:val="22"/>
        </w:rPr>
        <w:sectPr w:rsidR="00273656" w:rsidSect="00273656">
          <w:type w:val="continuous"/>
          <w:pgSz w:w="11907" w:h="16840" w:code="9"/>
          <w:pgMar w:top="1701" w:right="1418" w:bottom="1418" w:left="1701" w:header="1134" w:footer="1134" w:gutter="0"/>
          <w:paperSrc w:first="15"/>
          <w:cols w:num="2" w:space="709"/>
          <w:titlePg/>
        </w:sectPr>
      </w:pPr>
    </w:p>
    <w:p w:rsidR="00273656" w:rsidRPr="00C861E7" w:rsidRDefault="00273656" w:rsidP="00273656">
      <w:pPr>
        <w:rPr>
          <w:sz w:val="22"/>
        </w:rPr>
      </w:pPr>
    </w:p>
    <w:p w:rsidR="0043337B" w:rsidRDefault="0043337B" w:rsidP="0043337B">
      <w:pPr>
        <w:rPr>
          <w:sz w:val="22"/>
        </w:rPr>
      </w:pPr>
    </w:p>
    <w:p w:rsidR="0043337B" w:rsidRDefault="0043337B" w:rsidP="0043337B">
      <w:pPr>
        <w:rPr>
          <w:sz w:val="22"/>
        </w:rPr>
        <w:sectPr w:rsidR="0043337B" w:rsidSect="0043337B">
          <w:type w:val="continuous"/>
          <w:pgSz w:w="11907" w:h="16840" w:code="9"/>
          <w:pgMar w:top="1701" w:right="1418" w:bottom="1418" w:left="1701" w:header="1134" w:footer="1134" w:gutter="0"/>
          <w:paperSrc w:first="15"/>
          <w:cols w:num="2" w:space="709"/>
          <w:titlePg/>
        </w:sectPr>
      </w:pPr>
    </w:p>
    <w:p w:rsidR="0043337B" w:rsidRDefault="0043337B" w:rsidP="0043337B">
      <w:pPr>
        <w:rPr>
          <w:sz w:val="22"/>
        </w:rPr>
      </w:pPr>
    </w:p>
    <w:p w:rsidR="0043337B" w:rsidRDefault="0043337B" w:rsidP="0043337B">
      <w:pPr>
        <w:rPr>
          <w:sz w:val="22"/>
        </w:rPr>
      </w:pPr>
    </w:p>
    <w:p w:rsidR="008D432F" w:rsidRDefault="00273656" w:rsidP="00E50D75">
      <w:pPr>
        <w:jc w:val="center"/>
        <w:rPr>
          <w:b/>
        </w:rPr>
      </w:pPr>
      <w:r w:rsidRPr="00206651">
        <w:rPr>
          <w:b/>
        </w:rPr>
        <w:object w:dxaOrig="8193" w:dyaOrig="4621">
          <v:shape id="_x0000_i1038" type="#_x0000_t75" style="width:409.5pt;height:231pt" o:ole="">
            <v:imagedata r:id="rId53" o:title=""/>
          </v:shape>
          <o:OLEObject Type="Embed" ProgID="Excel.Sheet.12" ShapeID="_x0000_i1038" DrawAspect="Content" ObjectID="_1420468522" r:id="rId54"/>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E50D75" w:rsidRDefault="00DC1AE9" w:rsidP="001E1479">
      <w:pPr>
        <w:rPr>
          <w:b/>
        </w:rPr>
      </w:pPr>
      <w:r w:rsidRPr="006F2A4B">
        <w:rPr>
          <w:b/>
        </w:rPr>
        <w:lastRenderedPageBreak/>
        <w:t>1</w:t>
      </w:r>
      <w:r w:rsidR="00E50D75" w:rsidRPr="006F2A4B">
        <w:rPr>
          <w:b/>
        </w:rPr>
        <w:t>.1.3 Hidrocarburos</w:t>
      </w:r>
    </w:p>
    <w:p w:rsidR="0043337B" w:rsidRDefault="0043337B" w:rsidP="001E1479">
      <w:pPr>
        <w:rPr>
          <w:b/>
        </w:rPr>
      </w:pP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5"/>
          <w:footerReference w:type="default" r:id="rId56"/>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F54C3D">
        <w:rPr>
          <w:rFonts w:ascii="Times New Roman" w:hAnsi="Times New Roman"/>
          <w:lang w:val="es-ES"/>
        </w:rPr>
        <w:t>noviem</w:t>
      </w:r>
      <w:r w:rsidR="007B2C84">
        <w:rPr>
          <w:rFonts w:ascii="Times New Roman" w:hAnsi="Times New Roman"/>
          <w:lang w:val="es-ES"/>
        </w:rPr>
        <w:t>bre</w:t>
      </w:r>
      <w:r>
        <w:rPr>
          <w:rFonts w:ascii="Times New Roman" w:hAnsi="Times New Roman"/>
          <w:lang w:val="es-ES"/>
        </w:rPr>
        <w:t xml:space="preserve">, la producción de hidrocarburos </w:t>
      </w:r>
      <w:r w:rsidR="00D73E35">
        <w:rPr>
          <w:rFonts w:ascii="Times New Roman" w:hAnsi="Times New Roman"/>
          <w:lang w:val="es-ES"/>
        </w:rPr>
        <w:t xml:space="preserve">se contrajo en </w:t>
      </w:r>
      <w:r w:rsidR="00F54C3D">
        <w:rPr>
          <w:rFonts w:ascii="Times New Roman" w:hAnsi="Times New Roman"/>
          <w:lang w:val="es-ES"/>
        </w:rPr>
        <w:t>9</w:t>
      </w:r>
      <w:r w:rsidR="00D73E35">
        <w:rPr>
          <w:rFonts w:ascii="Times New Roman" w:hAnsi="Times New Roman"/>
          <w:lang w:val="es-ES"/>
        </w:rPr>
        <w:t>,</w:t>
      </w:r>
      <w:r w:rsidR="00F54C3D">
        <w:rPr>
          <w:rFonts w:ascii="Times New Roman" w:hAnsi="Times New Roman"/>
          <w:lang w:val="es-ES"/>
        </w:rPr>
        <w:t>3</w:t>
      </w:r>
      <w:r w:rsidR="00D73E35">
        <w:rPr>
          <w:rFonts w:ascii="Times New Roman" w:hAnsi="Times New Roman"/>
          <w:lang w:val="es-ES"/>
        </w:rPr>
        <w:t xml:space="preserve"> por ciento respecto a </w:t>
      </w:r>
      <w:r>
        <w:rPr>
          <w:rFonts w:ascii="Times New Roman" w:hAnsi="Times New Roman"/>
          <w:lang w:val="es-ES"/>
        </w:rPr>
        <w:t xml:space="preserve">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xml:space="preserve">. </w:t>
      </w:r>
      <w:r w:rsidR="00D73E35">
        <w:rPr>
          <w:rFonts w:ascii="Times New Roman" w:hAnsi="Times New Roman"/>
          <w:lang w:val="es-ES"/>
        </w:rPr>
        <w:t xml:space="preserve">Esto obedeció a la caída de la extracción de gas </w:t>
      </w:r>
      <w:r w:rsidR="00D73E35">
        <w:rPr>
          <w:rFonts w:ascii="Times New Roman" w:hAnsi="Times New Roman"/>
          <w:lang w:val="es-ES"/>
        </w:rPr>
        <w:lastRenderedPageBreak/>
        <w:t>natural (-</w:t>
      </w:r>
      <w:r w:rsidR="00F54C3D">
        <w:rPr>
          <w:rFonts w:ascii="Times New Roman" w:hAnsi="Times New Roman"/>
          <w:lang w:val="es-ES"/>
        </w:rPr>
        <w:t>31</w:t>
      </w:r>
      <w:r w:rsidR="00D73E35">
        <w:rPr>
          <w:rFonts w:ascii="Times New Roman" w:hAnsi="Times New Roman"/>
          <w:lang w:val="es-ES"/>
        </w:rPr>
        <w:t>,</w:t>
      </w:r>
      <w:r w:rsidR="00F54C3D">
        <w:rPr>
          <w:rFonts w:ascii="Times New Roman" w:hAnsi="Times New Roman"/>
          <w:lang w:val="es-ES"/>
        </w:rPr>
        <w:t>6</w:t>
      </w:r>
      <w:r w:rsidR="00D73E35">
        <w:rPr>
          <w:rFonts w:ascii="Times New Roman" w:hAnsi="Times New Roman"/>
          <w:lang w:val="es-ES"/>
        </w:rPr>
        <w:t xml:space="preserve"> por ciento) y petróleo (-</w:t>
      </w:r>
      <w:r w:rsidR="00F54C3D">
        <w:rPr>
          <w:rFonts w:ascii="Times New Roman" w:hAnsi="Times New Roman"/>
          <w:lang w:val="es-ES"/>
        </w:rPr>
        <w:t>7</w:t>
      </w:r>
      <w:r w:rsidR="00D73E35">
        <w:rPr>
          <w:rFonts w:ascii="Times New Roman" w:hAnsi="Times New Roman"/>
          <w:lang w:val="es-ES"/>
        </w:rPr>
        <w:t>,</w:t>
      </w:r>
      <w:r w:rsidR="00F54C3D">
        <w:rPr>
          <w:rFonts w:ascii="Times New Roman" w:hAnsi="Times New Roman"/>
          <w:lang w:val="es-ES"/>
        </w:rPr>
        <w:t>2</w:t>
      </w:r>
      <w:r w:rsidR="00D73E35">
        <w:rPr>
          <w:rFonts w:ascii="Times New Roman" w:hAnsi="Times New Roman"/>
          <w:lang w:val="es-ES"/>
        </w:rPr>
        <w:t xml:space="preserve"> por ciento). </w:t>
      </w:r>
      <w:r w:rsidR="00F84B8A">
        <w:rPr>
          <w:rFonts w:ascii="Times New Roman" w:hAnsi="Times New Roman"/>
          <w:lang w:val="es-ES"/>
        </w:rPr>
        <w:t xml:space="preserve">En el </w:t>
      </w:r>
      <w:r w:rsidR="004575E6">
        <w:rPr>
          <w:rFonts w:ascii="Times New Roman" w:hAnsi="Times New Roman"/>
          <w:lang w:val="es-ES"/>
        </w:rPr>
        <w:t>período enero-</w:t>
      </w:r>
      <w:r w:rsidR="00F54C3D">
        <w:rPr>
          <w:rFonts w:ascii="Times New Roman" w:hAnsi="Times New Roman"/>
          <w:lang w:val="es-ES"/>
        </w:rPr>
        <w:t>noviem</w:t>
      </w:r>
      <w:r w:rsidR="00D73E35">
        <w:rPr>
          <w:rFonts w:ascii="Times New Roman" w:hAnsi="Times New Roman"/>
          <w:lang w:val="es-ES"/>
        </w:rPr>
        <w:t>bre</w:t>
      </w:r>
      <w:r w:rsidR="00F84B8A">
        <w:rPr>
          <w:rFonts w:ascii="Times New Roman" w:hAnsi="Times New Roman"/>
          <w:lang w:val="es-ES"/>
        </w:rPr>
        <w:t xml:space="preserve">, el </w:t>
      </w:r>
      <w:r w:rsidR="00F54C3D">
        <w:rPr>
          <w:rFonts w:ascii="Times New Roman" w:hAnsi="Times New Roman"/>
          <w:lang w:val="es-ES"/>
        </w:rPr>
        <w:t>de</w:t>
      </w:r>
      <w:r w:rsidR="00F84B8A">
        <w:rPr>
          <w:rFonts w:ascii="Times New Roman" w:hAnsi="Times New Roman"/>
          <w:lang w:val="es-ES"/>
        </w:rPr>
        <w:t xml:space="preserve">crecimiento sectorial fue del </w:t>
      </w:r>
      <w:r w:rsidR="00FC4A77">
        <w:rPr>
          <w:rFonts w:ascii="Times New Roman" w:hAnsi="Times New Roman"/>
          <w:lang w:val="es-ES"/>
        </w:rPr>
        <w:t>0</w:t>
      </w:r>
      <w:r w:rsidR="00F84B8A">
        <w:rPr>
          <w:rFonts w:ascii="Times New Roman" w:hAnsi="Times New Roman"/>
          <w:lang w:val="es-ES"/>
        </w:rPr>
        <w:t>,</w:t>
      </w:r>
      <w:r w:rsidR="00F54C3D">
        <w:rPr>
          <w:rFonts w:ascii="Times New Roman" w:hAnsi="Times New Roman"/>
          <w:lang w:val="es-ES"/>
        </w:rPr>
        <w:t>6</w:t>
      </w:r>
      <w:r w:rsidR="00F84B8A">
        <w:rPr>
          <w:rFonts w:ascii="Times New Roman" w:hAnsi="Times New Roman"/>
          <w:lang w:val="es-ES"/>
        </w:rPr>
        <w:t xml:space="preserve"> por ciento</w:t>
      </w:r>
      <w:r w:rsidR="004575E6">
        <w:rPr>
          <w:rFonts w:ascii="Times New Roman" w:hAnsi="Times New Roman"/>
          <w:lang w:val="es-ES"/>
        </w:rPr>
        <w:t xml:space="preserve"> con relación a similar lapso del año </w:t>
      </w:r>
      <w:r w:rsidR="000E473F">
        <w:rPr>
          <w:rFonts w:ascii="Times New Roman" w:hAnsi="Times New Roman"/>
          <w:lang w:val="es-ES"/>
        </w:rPr>
        <w:t>previo</w:t>
      </w:r>
      <w:r w:rsidR="00F84B8A">
        <w:rPr>
          <w:rFonts w:ascii="Times New Roman" w:hAnsi="Times New Roman"/>
          <w:lang w:val="es-ES"/>
        </w:rPr>
        <w:t>.</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6913BD"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AC4996">
        <w:rPr>
          <w:rFonts w:ascii="Times New Roman" w:hAnsi="Times New Roman"/>
          <w:color w:val="FF0000"/>
          <w:lang w:val="es-ES"/>
        </w:rPr>
        <w:object w:dxaOrig="8941" w:dyaOrig="5838">
          <v:shape id="_x0000_i1039" type="#_x0000_t75" style="width:447pt;height:291.75pt" o:ole="">
            <v:imagedata r:id="rId57" o:title=""/>
          </v:shape>
          <o:OLEObject Type="Embed" ProgID="Excel.Sheet.8" ShapeID="_x0000_i1039" DrawAspect="Content" ObjectID="_1420468523" r:id="rId58"/>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CE7ABC">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57.45pt;margin-top:3.15pt;width:333.7pt;height:233.3pt;z-index:251753984" fillcolor="#4f81bd">
            <v:imagedata r:id="rId59" o:title=""/>
            <v:shadow color="#eeece1"/>
          </v:shape>
          <o:OLEObject Type="Embed" ProgID="Excel.Sheet.12" ShapeID="Object 7" DrawAspect="Content" ObjectID="_1420468555" r:id="rId60"/>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52557" w:rsidRPr="00EB2A9C" w:rsidRDefault="00852557">
      <w:pPr>
        <w:numPr>
          <w:ilvl w:val="2"/>
          <w:numId w:val="4"/>
        </w:numPr>
        <w:rPr>
          <w:b/>
        </w:rPr>
      </w:pPr>
      <w:r w:rsidRPr="00EB2A9C">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61"/>
          <w:footerReference w:type="default" r:id="rId62"/>
          <w:type w:val="continuous"/>
          <w:pgSz w:w="11906" w:h="16838"/>
          <w:pgMar w:top="1417" w:right="1701" w:bottom="1417" w:left="1701" w:header="720" w:footer="720" w:gutter="0"/>
          <w:cols w:space="720"/>
        </w:sectPr>
      </w:pPr>
    </w:p>
    <w:p w:rsidR="00FE008F" w:rsidRDefault="00FE008F" w:rsidP="00FE008F">
      <w:pPr>
        <w:rPr>
          <w:sz w:val="22"/>
          <w:szCs w:val="22"/>
          <w:lang w:val="es-PE"/>
        </w:rPr>
        <w:sectPr w:rsidR="00FE008F" w:rsidSect="00A7031E">
          <w:type w:val="continuous"/>
          <w:pgSz w:w="11906" w:h="16838"/>
          <w:pgMar w:top="1417" w:right="1701" w:bottom="1417" w:left="1701" w:header="708" w:footer="708" w:gutter="0"/>
          <w:cols w:num="2" w:space="720"/>
          <w:docGrid w:linePitch="360"/>
        </w:sectPr>
      </w:pPr>
      <w:r>
        <w:rPr>
          <w:sz w:val="22"/>
          <w:szCs w:val="22"/>
          <w:lang w:val="es-PE"/>
        </w:rPr>
        <w:lastRenderedPageBreak/>
        <w:t>En el mes bajo análisis, l</w:t>
      </w:r>
      <w:r w:rsidRPr="006A1E32">
        <w:rPr>
          <w:sz w:val="22"/>
          <w:szCs w:val="22"/>
          <w:lang w:val="es-PE"/>
        </w:rPr>
        <w:t xml:space="preserve">a actividad industrial </w:t>
      </w:r>
      <w:r>
        <w:rPr>
          <w:sz w:val="22"/>
          <w:szCs w:val="22"/>
          <w:lang w:val="es-PE"/>
        </w:rPr>
        <w:t xml:space="preserve">creció 74,2 por ciento respecto de igual período del año anterior. Esto radicó en la notable expansión de la manufactura </w:t>
      </w:r>
      <w:r>
        <w:rPr>
          <w:sz w:val="22"/>
          <w:szCs w:val="22"/>
          <w:lang w:val="es-PE"/>
        </w:rPr>
        <w:lastRenderedPageBreak/>
        <w:t>primaria (46,8 por ciento) que compensó con creces la caída en la manufactura no primaria (-33,6 por ciento). En lo que va del año, el sector creció 11,8 por ciento.</w:t>
      </w:r>
    </w:p>
    <w:p w:rsidR="00994744" w:rsidRDefault="00994744" w:rsidP="00C7315E">
      <w:pPr>
        <w:rPr>
          <w:sz w:val="22"/>
          <w:szCs w:val="22"/>
          <w:lang w:val="es-PE"/>
        </w:rPr>
        <w:sectPr w:rsidR="00994744" w:rsidSect="00994744">
          <w:type w:val="continuous"/>
          <w:pgSz w:w="11906" w:h="16838"/>
          <w:pgMar w:top="1417" w:right="1701" w:bottom="1417" w:left="1701" w:header="708" w:footer="708" w:gutter="0"/>
          <w:cols w:num="2" w:space="709"/>
          <w:docGrid w:linePitch="360"/>
        </w:sectPr>
      </w:pPr>
    </w:p>
    <w:p w:rsidR="00C7315E" w:rsidRDefault="00C7315E" w:rsidP="00C7315E">
      <w:pPr>
        <w:rPr>
          <w:sz w:val="22"/>
          <w:szCs w:val="22"/>
          <w:lang w:val="es-PE"/>
        </w:rPr>
      </w:pPr>
    </w:p>
    <w:p w:rsidR="00947BC8" w:rsidRDefault="00947BC8" w:rsidP="00947BC8">
      <w:pPr>
        <w:rPr>
          <w:sz w:val="22"/>
          <w:szCs w:val="22"/>
          <w:lang w:val="es-PE"/>
        </w:rPr>
      </w:pP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4E68B5" w:rsidRDefault="00FE008F">
      <w:pPr>
        <w:jc w:val="center"/>
      </w:pPr>
      <w:r>
        <w:object w:dxaOrig="5666" w:dyaOrig="3078">
          <v:shape id="_x0000_i1040" type="#_x0000_t75" style="width:283.5pt;height:153.75pt" o:ole="">
            <v:imagedata r:id="rId63" o:title=""/>
          </v:shape>
          <o:OLEObject Type="Embed" ProgID="Excel.Sheet.8" ShapeID="_x0000_i1040" DrawAspect="Content" ObjectID="_1420468524" r:id="rId64"/>
        </w:object>
      </w:r>
    </w:p>
    <w:p w:rsidR="00FE008F" w:rsidRDefault="00FE008F">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FE008F" w:rsidRPr="00ED5574" w:rsidRDefault="00FE008F" w:rsidP="00FE008F">
      <w:pPr>
        <w:rPr>
          <w:sz w:val="22"/>
          <w:szCs w:val="22"/>
        </w:rPr>
        <w:sectPr w:rsidR="00FE008F" w:rsidRPr="00ED5574">
          <w:type w:val="continuous"/>
          <w:pgSz w:w="11906" w:h="16838"/>
          <w:pgMar w:top="1417" w:right="1701" w:bottom="1417" w:left="1701" w:header="708" w:footer="708" w:gutter="0"/>
          <w:cols w:num="2" w:space="709"/>
          <w:docGrid w:linePitch="360"/>
        </w:sectPr>
      </w:pPr>
      <w:r>
        <w:rPr>
          <w:sz w:val="22"/>
          <w:szCs w:val="22"/>
          <w:lang w:val="es-PE"/>
        </w:rPr>
        <w:lastRenderedPageBreak/>
        <w:t xml:space="preserve">El procesamiento primario de recursos se vio impulsado por la significativa expansión en la producción de pescado congelado (148,8 por ciento), dada la </w:t>
      </w:r>
      <w:r>
        <w:rPr>
          <w:sz w:val="22"/>
          <w:szCs w:val="22"/>
          <w:lang w:val="es-PE"/>
        </w:rPr>
        <w:lastRenderedPageBreak/>
        <w:t>abundancia relativa de pota. Asimismo, en la rama de refinación de petróleo, s</w:t>
      </w:r>
      <w:r>
        <w:rPr>
          <w:sz w:val="22"/>
          <w:szCs w:val="22"/>
        </w:rPr>
        <w:t>e registró un modesto incremento en la producción de gasolinas (1,8 por ciento).</w:t>
      </w:r>
    </w:p>
    <w:p w:rsidR="0038767D" w:rsidRDefault="0038767D" w:rsidP="001258A0">
      <w:pPr>
        <w:rPr>
          <w:sz w:val="22"/>
          <w:szCs w:val="22"/>
          <w:lang w:val="es-PE"/>
        </w:rPr>
      </w:pPr>
    </w:p>
    <w:p w:rsidR="00C7315E" w:rsidRDefault="00C7315E" w:rsidP="00C7315E">
      <w:pPr>
        <w:rPr>
          <w:sz w:val="22"/>
          <w:szCs w:val="22"/>
          <w:lang w:val="es-PE"/>
        </w:rPr>
        <w:sectPr w:rsidR="00C7315E" w:rsidSect="00961490">
          <w:type w:val="continuous"/>
          <w:pgSz w:w="11906" w:h="16838"/>
          <w:pgMar w:top="1417" w:right="1701" w:bottom="1417" w:left="1701" w:header="708" w:footer="708" w:gutter="0"/>
          <w:cols w:num="2" w:space="709"/>
          <w:docGrid w:linePitch="360"/>
        </w:sectPr>
      </w:pPr>
    </w:p>
    <w:p w:rsidR="00A769FE" w:rsidRDefault="00FC66B9" w:rsidP="00985ACD">
      <w:pPr>
        <w:rPr>
          <w:sz w:val="22"/>
          <w:szCs w:val="22"/>
        </w:rPr>
      </w:pPr>
      <w:r>
        <w:rPr>
          <w:sz w:val="22"/>
          <w:szCs w:val="22"/>
        </w:rPr>
        <w:lastRenderedPageBreak/>
        <w:t xml:space="preserve"> </w:t>
      </w: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FE008F" w:rsidRDefault="0011275B" w:rsidP="00A769FE">
      <w:pPr>
        <w:jc w:val="center"/>
        <w:sectPr w:rsidR="00FE008F" w:rsidSect="00FE008F">
          <w:type w:val="continuous"/>
          <w:pgSz w:w="11906" w:h="16838"/>
          <w:pgMar w:top="1417" w:right="1701" w:bottom="180" w:left="1701" w:header="708" w:footer="708" w:gutter="0"/>
          <w:cols w:space="720"/>
          <w:docGrid w:linePitch="360"/>
        </w:sectPr>
      </w:pPr>
      <w:r>
        <w:object w:dxaOrig="8782" w:dyaOrig="5113">
          <v:shape id="_x0000_i1041" type="#_x0000_t75" style="width:425.25pt;height:267.75pt" o:ole="">
            <v:imagedata r:id="rId65" o:title=""/>
          </v:shape>
          <o:OLEObject Type="Embed" ProgID="Excel.Sheet.12" ShapeID="_x0000_i1041" DrawAspect="Content" ObjectID="_1420468525" r:id="rId66"/>
        </w:object>
      </w:r>
    </w:p>
    <w:p w:rsidR="00A769FE" w:rsidRDefault="00A769FE"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Pr="006A2C29" w:rsidRDefault="00FE008F" w:rsidP="00FE008F">
      <w:pPr>
        <w:rPr>
          <w:sz w:val="22"/>
          <w:szCs w:val="22"/>
        </w:rPr>
      </w:pPr>
      <w:r w:rsidRPr="006A2C29">
        <w:rPr>
          <w:sz w:val="22"/>
          <w:szCs w:val="22"/>
        </w:rPr>
        <w:lastRenderedPageBreak/>
        <w:t xml:space="preserve">La industria no primaria mostró una caída mensual del 33,6 por ciento, merced a la menor producción de aceites comestibles </w:t>
      </w:r>
      <w:r w:rsidR="00EB2A9C">
        <w:rPr>
          <w:sz w:val="22"/>
          <w:szCs w:val="22"/>
        </w:rPr>
        <w:t xml:space="preserve">  </w:t>
      </w:r>
      <w:r w:rsidRPr="006A2C29">
        <w:rPr>
          <w:sz w:val="22"/>
          <w:szCs w:val="22"/>
        </w:rPr>
        <w:t xml:space="preserve">(-100,0 por ciento), </w:t>
      </w:r>
      <w:r>
        <w:rPr>
          <w:sz w:val="22"/>
          <w:szCs w:val="22"/>
        </w:rPr>
        <w:t>jugos de fruta (-64,1 por ciento), harina de trigo (-21,1 por ciento), hilados de algodón (-5,8 por ciento), aceite esencial de limón (-100,0 por ciento) y oleína (-52,4 por ciento).</w:t>
      </w:r>
    </w:p>
    <w:p w:rsidR="00FE008F" w:rsidRDefault="00FE008F" w:rsidP="00FE008F">
      <w:pPr>
        <w:rPr>
          <w:sz w:val="22"/>
          <w:szCs w:val="22"/>
        </w:rPr>
      </w:pPr>
    </w:p>
    <w:p w:rsidR="00FE008F" w:rsidRDefault="00FE008F" w:rsidP="00FE008F">
      <w:pPr>
        <w:rPr>
          <w:sz w:val="22"/>
          <w:szCs w:val="22"/>
        </w:rPr>
      </w:pPr>
      <w:r>
        <w:rPr>
          <w:sz w:val="22"/>
          <w:szCs w:val="22"/>
        </w:rPr>
        <w:t xml:space="preserve">Cabe señalar que la única empresa que producía aceites comestibles en la región </w:t>
      </w:r>
      <w:r>
        <w:rPr>
          <w:sz w:val="22"/>
          <w:szCs w:val="22"/>
        </w:rPr>
        <w:lastRenderedPageBreak/>
        <w:t xml:space="preserve">dejó de hacerlo al ser absorbida por otra. De otro lado, la rama frutícola se vio afectada por la escasa disponibilidad de materia prima (maracuyá), al igual que ocurrió en el caso de la producción de aceite esencial de limón. </w:t>
      </w:r>
    </w:p>
    <w:p w:rsidR="00FE008F" w:rsidRDefault="00FE008F" w:rsidP="00FE008F">
      <w:pPr>
        <w:rPr>
          <w:sz w:val="22"/>
          <w:szCs w:val="22"/>
        </w:rPr>
      </w:pPr>
    </w:p>
    <w:p w:rsidR="00FE008F" w:rsidRDefault="00FE008F" w:rsidP="00FE008F">
      <w:pPr>
        <w:rPr>
          <w:sz w:val="22"/>
          <w:szCs w:val="22"/>
        </w:rPr>
        <w:sectPr w:rsidR="00FE008F" w:rsidSect="00472679">
          <w:type w:val="continuous"/>
          <w:pgSz w:w="11906" w:h="16838"/>
          <w:pgMar w:top="1417" w:right="1701" w:bottom="180" w:left="1701" w:header="708" w:footer="708" w:gutter="0"/>
          <w:cols w:num="2" w:space="720"/>
          <w:docGrid w:linePitch="360"/>
        </w:sectPr>
      </w:pPr>
      <w:r>
        <w:rPr>
          <w:sz w:val="22"/>
          <w:szCs w:val="22"/>
        </w:rPr>
        <w:t>Por último, la rama de hilados de algodón tuvo una contracción menos aguda que la registrada en meses previos, denotando un proceso gradual de recuperación.</w:t>
      </w:r>
    </w:p>
    <w:p w:rsidR="00FE008F" w:rsidRDefault="00FE008F" w:rsidP="00A769FE">
      <w:pPr>
        <w:jc w:val="center"/>
      </w:pPr>
    </w:p>
    <w:p w:rsidR="00FE008F" w:rsidRDefault="00FE008F" w:rsidP="00A769FE">
      <w:pPr>
        <w:jc w:val="center"/>
      </w:pPr>
    </w:p>
    <w:p w:rsidR="00FE008F" w:rsidRDefault="00FE008F" w:rsidP="00A769FE">
      <w:pPr>
        <w:jc w:val="center"/>
      </w:pPr>
    </w:p>
    <w:p w:rsidR="00C76606" w:rsidRDefault="00C76606" w:rsidP="00994744">
      <w:pPr>
        <w:rPr>
          <w:sz w:val="22"/>
          <w:szCs w:val="22"/>
          <w:lang w:val="es-PE"/>
        </w:rPr>
        <w:sectPr w:rsidR="00C76606" w:rsidSect="00FE008F">
          <w:type w:val="continuous"/>
          <w:pgSz w:w="11906" w:h="16838"/>
          <w:pgMar w:top="1417" w:right="1701" w:bottom="180" w:left="1701" w:header="708" w:footer="708" w:gutter="0"/>
          <w:cols w:num="2" w:space="720"/>
          <w:docGrid w:linePitch="360"/>
        </w:sectPr>
      </w:pPr>
    </w:p>
    <w:p w:rsidR="00483779" w:rsidRDefault="00057F69" w:rsidP="008315D0">
      <w:pPr>
        <w:rPr>
          <w:sz w:val="22"/>
          <w:szCs w:val="22"/>
          <w:lang w:val="es-PE"/>
        </w:rPr>
      </w:pPr>
      <w:r>
        <w:rPr>
          <w:sz w:val="22"/>
          <w:szCs w:val="22"/>
        </w:rPr>
        <w:lastRenderedPageBreak/>
        <w:t xml:space="preserve"> </w:t>
      </w:r>
      <w:r w:rsidR="00791CCE" w:rsidRPr="00206651">
        <w:rPr>
          <w:sz w:val="22"/>
          <w:szCs w:val="22"/>
          <w:lang w:val="es-PE"/>
        </w:rPr>
        <w:object w:dxaOrig="8799" w:dyaOrig="5418">
          <v:shape id="_x0000_i1042" type="#_x0000_t75" style="width:440.25pt;height:270.75pt" o:ole="">
            <v:imagedata r:id="rId67" o:title=""/>
          </v:shape>
          <o:OLEObject Type="Embed" ProgID="Excel.Sheet.12" ShapeID="_x0000_i1042" DrawAspect="Content" ObjectID="_1420468526" r:id="rId68"/>
        </w:object>
      </w:r>
    </w:p>
    <w:p w:rsidR="00AE15A1" w:rsidRDefault="00AE15A1" w:rsidP="00E625C1">
      <w:pPr>
        <w:rPr>
          <w:sz w:val="22"/>
          <w:szCs w:val="22"/>
          <w:lang w:val="es-PE"/>
        </w:rPr>
      </w:pPr>
    </w:p>
    <w:p w:rsidR="001C61F3" w:rsidRDefault="001C61F3" w:rsidP="00E625C1">
      <w:pPr>
        <w:rPr>
          <w:sz w:val="22"/>
          <w:szCs w:val="22"/>
          <w:lang w:val="es-PE"/>
        </w:rPr>
      </w:pPr>
    </w:p>
    <w:p w:rsidR="009F349E" w:rsidRDefault="009F349E" w:rsidP="00E625C1">
      <w:pPr>
        <w:rPr>
          <w:sz w:val="22"/>
          <w:szCs w:val="22"/>
          <w:lang w:val="es-PE"/>
        </w:rPr>
        <w:sectPr w:rsidR="009F349E" w:rsidSect="00483779">
          <w:type w:val="continuous"/>
          <w:pgSz w:w="11906" w:h="16838"/>
          <w:pgMar w:top="1417" w:right="1701" w:bottom="180" w:left="1701" w:header="708" w:footer="708" w:gutter="0"/>
          <w:cols w:space="720"/>
          <w:docGrid w:linePitch="360"/>
        </w:sectPr>
      </w:pPr>
    </w:p>
    <w:p w:rsidR="00D11646" w:rsidRDefault="00FE008F" w:rsidP="00D11646">
      <w:r>
        <w:object w:dxaOrig="4322" w:dyaOrig="3234">
          <v:shape id="_x0000_i1043" type="#_x0000_t75" style="width:206.25pt;height:166.5pt" o:ole="">
            <v:imagedata r:id="rId69" o:title=""/>
            <o:lock v:ext="edit" aspectratio="f"/>
          </v:shape>
          <o:OLEObject Type="Embed" ProgID="Excel.Sheet.8" ShapeID="_x0000_i1043" DrawAspect="Content" ObjectID="_1420468527" r:id="rId70"/>
        </w:object>
      </w:r>
      <w:r w:rsidR="00D11646">
        <w:tab/>
      </w:r>
      <w:r>
        <w:object w:dxaOrig="4310" w:dyaOrig="3233">
          <v:shape id="_x0000_i1044" type="#_x0000_t75" style="width:205.5pt;height:166.5pt" o:ole="">
            <v:imagedata r:id="rId71" o:title=""/>
          </v:shape>
          <o:OLEObject Type="Embed" ProgID="Excel.Sheet.8" ShapeID="_x0000_i1044" DrawAspect="Content" ObjectID="_1420468528" r:id="rId72"/>
        </w:object>
      </w:r>
    </w:p>
    <w:p w:rsidR="00A769FE" w:rsidRPr="00FC18C8" w:rsidRDefault="00A769FE"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EB2A9C" w:rsidRDefault="00EB2A9C" w:rsidP="00F04DEC">
      <w:pPr>
        <w:pStyle w:val="Ttulo2"/>
        <w:ind w:left="0"/>
        <w:rPr>
          <w:rFonts w:ascii="Times New Roman" w:hAnsi="Times New Roman"/>
          <w:sz w:val="24"/>
          <w:szCs w:val="24"/>
        </w:rPr>
      </w:pPr>
    </w:p>
    <w:p w:rsidR="00F04DEC" w:rsidRPr="00143594" w:rsidRDefault="00F04DEC" w:rsidP="00F04DEC">
      <w:pPr>
        <w:pStyle w:val="Ttulo2"/>
        <w:ind w:left="0"/>
        <w:rPr>
          <w:rFonts w:ascii="Times New Roman" w:hAnsi="Times New Roman"/>
          <w:sz w:val="24"/>
          <w:szCs w:val="24"/>
        </w:rPr>
      </w:pPr>
      <w:r w:rsidRPr="00126EC3">
        <w:rPr>
          <w:rFonts w:ascii="Times New Roman" w:hAnsi="Times New Roman"/>
          <w:sz w:val="24"/>
          <w:szCs w:val="24"/>
        </w:rPr>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73"/>
          <w:footerReference w:type="default" r:id="rId74"/>
          <w:type w:val="continuous"/>
          <w:pgSz w:w="11907" w:h="16840" w:code="9"/>
          <w:pgMar w:top="1701" w:right="1418" w:bottom="1418" w:left="1701" w:header="1134" w:footer="1134" w:gutter="0"/>
          <w:paperSrc w:first="15"/>
          <w:cols w:num="2" w:space="720" w:equalWidth="0">
            <w:col w:w="4040" w:space="708"/>
            <w:col w:w="4040"/>
          </w:cols>
          <w:titlePg/>
        </w:sectPr>
      </w:pPr>
    </w:p>
    <w:p w:rsidR="00126EC3" w:rsidRDefault="00126EC3" w:rsidP="00126EC3">
      <w:pPr>
        <w:rPr>
          <w:sz w:val="22"/>
          <w:szCs w:val="22"/>
        </w:rPr>
      </w:pPr>
      <w:r>
        <w:rPr>
          <w:sz w:val="22"/>
        </w:rPr>
        <w:lastRenderedPageBreak/>
        <w:t>En noviembre,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en 9,1 </w:t>
      </w:r>
      <w:r w:rsidRPr="00EA2ACB">
        <w:rPr>
          <w:sz w:val="22"/>
        </w:rPr>
        <w:t>por ciento</w:t>
      </w:r>
      <w:r>
        <w:rPr>
          <w:sz w:val="22"/>
        </w:rPr>
        <w:t xml:space="preserve"> con relación a igual </w:t>
      </w:r>
      <w:r>
        <w:rPr>
          <w:sz w:val="22"/>
        </w:rPr>
        <w:lastRenderedPageBreak/>
        <w:t xml:space="preserve">mes del año anterior. </w:t>
      </w:r>
      <w:r>
        <w:rPr>
          <w:sz w:val="22"/>
          <w:szCs w:val="22"/>
        </w:rPr>
        <w:t>En los once primeros meses del año, el sector registró una expansión del 12,6 por ciento.</w:t>
      </w:r>
    </w:p>
    <w:p w:rsidR="00126EC3" w:rsidRDefault="00126EC3" w:rsidP="00126EC3">
      <w:pPr>
        <w:rPr>
          <w:sz w:val="22"/>
          <w:szCs w:val="22"/>
        </w:rPr>
        <w:sectPr w:rsidR="00126EC3" w:rsidSect="00126EC3">
          <w:type w:val="continuous"/>
          <w:pgSz w:w="11907" w:h="16840" w:code="9"/>
          <w:pgMar w:top="1701" w:right="1418" w:bottom="1418" w:left="1701" w:header="1134" w:footer="1134" w:gutter="0"/>
          <w:paperSrc w:first="15"/>
          <w:cols w:num="2" w:space="708"/>
          <w:titlePg/>
        </w:sectPr>
      </w:pPr>
    </w:p>
    <w:p w:rsidR="00126EC3" w:rsidRDefault="00126EC3" w:rsidP="00126EC3">
      <w:pPr>
        <w:rPr>
          <w:sz w:val="22"/>
          <w:szCs w:val="22"/>
        </w:rPr>
      </w:pPr>
    </w:p>
    <w:p w:rsidR="00803BBF" w:rsidRDefault="00803BBF" w:rsidP="00803BBF">
      <w:pPr>
        <w:rPr>
          <w:sz w:val="22"/>
          <w:szCs w:val="22"/>
        </w:rPr>
      </w:pPr>
    </w:p>
    <w:p w:rsidR="00596288" w:rsidRPr="00C87A65" w:rsidRDefault="00596288" w:rsidP="001C335B">
      <w:pPr>
        <w:rPr>
          <w:sz w:val="22"/>
        </w:rPr>
        <w:sectPr w:rsidR="00596288"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126EC3" w:rsidP="005E7AE7">
      <w:pPr>
        <w:ind w:left="-397" w:firstLine="567"/>
        <w:jc w:val="center"/>
        <w:rPr>
          <w:sz w:val="22"/>
        </w:rPr>
      </w:pPr>
      <w:r w:rsidRPr="001C0633">
        <w:rPr>
          <w:color w:val="FF0000"/>
          <w:sz w:val="22"/>
        </w:rPr>
        <w:object w:dxaOrig="8100" w:dyaOrig="2292">
          <v:shape id="_x0000_i1045" type="#_x0000_t75" style="width:405pt;height:114.75pt" o:ole="">
            <v:imagedata r:id="rId75" o:title=""/>
          </v:shape>
          <o:OLEObject Type="Embed" ProgID="Excel.Sheet.12" ShapeID="_x0000_i1045" DrawAspect="Content" ObjectID="_1420468529" r:id="rId76"/>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126EC3">
        <w:rPr>
          <w:rFonts w:ascii="Times New Roman" w:hAnsi="Times New Roman"/>
          <w:sz w:val="24"/>
          <w:szCs w:val="24"/>
        </w:rPr>
        <w:t>1.1.6.</w:t>
      </w:r>
      <w:r w:rsidRPr="00126EC3">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126EC3" w:rsidRDefault="00126EC3" w:rsidP="00126EC3">
      <w:r>
        <w:rPr>
          <w:sz w:val="22"/>
        </w:rPr>
        <w:lastRenderedPageBreak/>
        <w:t xml:space="preserve">En noviembre, la </w:t>
      </w:r>
      <w:r>
        <w:rPr>
          <w:b/>
          <w:bCs/>
          <w:sz w:val="22"/>
        </w:rPr>
        <w:t xml:space="preserve">producción de electricidad y agua </w:t>
      </w:r>
      <w:r>
        <w:rPr>
          <w:sz w:val="22"/>
        </w:rPr>
        <w:t xml:space="preserve">decreció 6,5 por ciento en relación con igual mes del año anterior; por la menor generación de energía eléctrica (-8,9 por ciento), que contrarrestó el </w:t>
      </w:r>
      <w:r>
        <w:rPr>
          <w:sz w:val="22"/>
        </w:rPr>
        <w:lastRenderedPageBreak/>
        <w:t>incremento en la producción de agua (2,7 por ciento). No obstante, e</w:t>
      </w:r>
      <w:r>
        <w:rPr>
          <w:sz w:val="22"/>
          <w:szCs w:val="22"/>
        </w:rPr>
        <w:t>n el período enero-noviembre, el sector creció en 6,2 por ciento respecto de similar lapso del año anterior.</w:t>
      </w:r>
    </w:p>
    <w:p w:rsidR="002E50CD" w:rsidRDefault="002E50CD" w:rsidP="002E50CD">
      <w:pPr>
        <w:rPr>
          <w:sz w:val="22"/>
        </w:rPr>
        <w:sectPr w:rsidR="002E50CD">
          <w:type w:val="continuous"/>
          <w:pgSz w:w="11907" w:h="16840" w:code="9"/>
          <w:pgMar w:top="1701" w:right="1418" w:bottom="1418" w:left="1701" w:header="1134" w:footer="1134" w:gutter="0"/>
          <w:paperSrc w:first="15"/>
          <w:cols w:num="2" w:space="708"/>
          <w:titlePg/>
        </w:sectPr>
      </w:pP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4E43C2">
      <w:pPr>
        <w:ind w:left="-510"/>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126EC3" w:rsidRPr="001C0633">
        <w:rPr>
          <w:sz w:val="26"/>
        </w:rPr>
        <w:object w:dxaOrig="7857" w:dyaOrig="2776">
          <v:shape id="_x0000_i1046" type="#_x0000_t75" style="width:393pt;height:138.75pt" o:ole="">
            <v:imagedata r:id="rId77" o:title=""/>
          </v:shape>
          <o:OLEObject Type="Embed" ProgID="Excel.Sheet.12" ShapeID="_x0000_i1046" DrawAspect="Content" ObjectID="_1420468530" r:id="rId78"/>
        </w:object>
      </w:r>
    </w:p>
    <w:p w:rsidR="00852557" w:rsidRPr="0052052B" w:rsidRDefault="00852557">
      <w:pPr>
        <w:rPr>
          <w:b/>
          <w:lang w:val="es-ES_tradnl"/>
        </w:rPr>
      </w:pPr>
      <w:r w:rsidRPr="002F6253">
        <w:rPr>
          <w:b/>
          <w:lang w:val="es-ES_tradnl"/>
        </w:rPr>
        <w:lastRenderedPageBreak/>
        <w:t>1.1.7.</w:t>
      </w:r>
      <w:r w:rsidRPr="002F6253">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9"/>
          <w:footerReference w:type="default" r:id="rId80"/>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2F6253">
        <w:rPr>
          <w:bCs/>
          <w:sz w:val="22"/>
          <w:szCs w:val="22"/>
        </w:rPr>
        <w:t>5</w:t>
      </w:r>
      <w:r w:rsidR="00D23A25">
        <w:rPr>
          <w:bCs/>
          <w:sz w:val="22"/>
          <w:szCs w:val="22"/>
        </w:rPr>
        <w:t>9</w:t>
      </w:r>
      <w:r>
        <w:rPr>
          <w:bCs/>
          <w:sz w:val="22"/>
          <w:szCs w:val="22"/>
        </w:rPr>
        <w:t>,0 por ciento i</w:t>
      </w:r>
      <w:r w:rsidR="00735C2D">
        <w:rPr>
          <w:bCs/>
          <w:sz w:val="22"/>
          <w:szCs w:val="22"/>
        </w:rPr>
        <w:t xml:space="preserve">ncrementó sus ventas respecto a </w:t>
      </w:r>
      <w:r w:rsidR="00D23A25">
        <w:rPr>
          <w:bCs/>
          <w:sz w:val="22"/>
          <w:szCs w:val="22"/>
        </w:rPr>
        <w:t>noviem</w:t>
      </w:r>
      <w:r w:rsidR="001469D2">
        <w:rPr>
          <w:bCs/>
          <w:sz w:val="22"/>
          <w:szCs w:val="22"/>
        </w:rPr>
        <w:t>bre</w:t>
      </w:r>
      <w:r>
        <w:rPr>
          <w:bCs/>
          <w:sz w:val="22"/>
          <w:szCs w:val="22"/>
        </w:rPr>
        <w:t xml:space="preserve"> del año pasado, mientras que un </w:t>
      </w:r>
      <w:r w:rsidR="00D23A25">
        <w:rPr>
          <w:bCs/>
          <w:sz w:val="22"/>
          <w:szCs w:val="22"/>
        </w:rPr>
        <w:t>17</w:t>
      </w:r>
      <w:r>
        <w:rPr>
          <w:bCs/>
          <w:sz w:val="22"/>
          <w:szCs w:val="22"/>
        </w:rPr>
        <w:t xml:space="preserve">,0 por ciento  experimentó una disminución  y </w:t>
      </w:r>
      <w:r w:rsidR="003D6631">
        <w:rPr>
          <w:bCs/>
          <w:sz w:val="22"/>
          <w:szCs w:val="22"/>
        </w:rPr>
        <w:t>un</w:t>
      </w:r>
      <w:r>
        <w:rPr>
          <w:bCs/>
          <w:sz w:val="22"/>
          <w:szCs w:val="22"/>
        </w:rPr>
        <w:t xml:space="preserve"> </w:t>
      </w:r>
      <w:r w:rsidR="002B74DC">
        <w:rPr>
          <w:bCs/>
          <w:sz w:val="22"/>
          <w:szCs w:val="22"/>
        </w:rPr>
        <w:t>2</w:t>
      </w:r>
      <w:r w:rsidR="00D23A25">
        <w:rPr>
          <w:bCs/>
          <w:sz w:val="22"/>
          <w:szCs w:val="22"/>
        </w:rPr>
        <w:t>4</w:t>
      </w:r>
      <w:r>
        <w:rPr>
          <w:bCs/>
          <w:sz w:val="22"/>
          <w:szCs w:val="22"/>
        </w:rPr>
        <w:t xml:space="preserve">,0 por ciento no mostró variación alguna. Con relación al mes precedente, el </w:t>
      </w:r>
      <w:r w:rsidR="002F6253">
        <w:rPr>
          <w:bCs/>
          <w:sz w:val="22"/>
          <w:szCs w:val="22"/>
        </w:rPr>
        <w:t>55</w:t>
      </w:r>
      <w:r>
        <w:rPr>
          <w:bCs/>
          <w:sz w:val="22"/>
          <w:szCs w:val="22"/>
        </w:rPr>
        <w:t xml:space="preserve">,0 por ciento de las  empresas  declarantes  mostró un crecimiento en sus ventas, el </w:t>
      </w:r>
      <w:r w:rsidR="00D23A25">
        <w:rPr>
          <w:bCs/>
          <w:sz w:val="22"/>
          <w:szCs w:val="22"/>
        </w:rPr>
        <w:t>21</w:t>
      </w:r>
      <w:r>
        <w:rPr>
          <w:bCs/>
          <w:sz w:val="22"/>
          <w:szCs w:val="22"/>
        </w:rPr>
        <w:t xml:space="preserve">,0 por </w:t>
      </w:r>
      <w:r w:rsidR="00D8354C">
        <w:rPr>
          <w:bCs/>
          <w:sz w:val="22"/>
          <w:szCs w:val="22"/>
        </w:rPr>
        <w:lastRenderedPageBreak/>
        <w:t>c</w:t>
      </w:r>
      <w:r>
        <w:rPr>
          <w:bCs/>
          <w:sz w:val="22"/>
          <w:szCs w:val="22"/>
        </w:rPr>
        <w:t>iento registró una caída</w:t>
      </w:r>
      <w:r w:rsidR="00A02E95">
        <w:rPr>
          <w:bCs/>
          <w:sz w:val="22"/>
          <w:szCs w:val="22"/>
        </w:rPr>
        <w:t xml:space="preserve"> </w:t>
      </w:r>
      <w:r>
        <w:rPr>
          <w:bCs/>
          <w:sz w:val="22"/>
          <w:szCs w:val="22"/>
        </w:rPr>
        <w:t xml:space="preserve">y </w:t>
      </w:r>
      <w:r w:rsidR="00F0556D">
        <w:rPr>
          <w:bCs/>
          <w:sz w:val="22"/>
          <w:szCs w:val="22"/>
        </w:rPr>
        <w:t xml:space="preserve">el </w:t>
      </w:r>
      <w:r w:rsidR="001469D2">
        <w:rPr>
          <w:bCs/>
          <w:sz w:val="22"/>
          <w:szCs w:val="22"/>
        </w:rPr>
        <w:t>2</w:t>
      </w:r>
      <w:r w:rsidR="00D23A25">
        <w:rPr>
          <w:bCs/>
          <w:sz w:val="22"/>
          <w:szCs w:val="22"/>
        </w:rPr>
        <w:t>4</w:t>
      </w:r>
      <w:r w:rsidR="00F0556D">
        <w:rPr>
          <w:bCs/>
          <w:sz w:val="22"/>
          <w:szCs w:val="22"/>
        </w:rPr>
        <w:t>,0</w:t>
      </w:r>
      <w:r>
        <w:rPr>
          <w:bCs/>
          <w:sz w:val="22"/>
          <w:szCs w:val="22"/>
        </w:rPr>
        <w:t xml:space="preserve"> por ciento restante no exhibió cambios</w:t>
      </w:r>
      <w:r w:rsidR="00F0556D">
        <w:rPr>
          <w:bCs/>
          <w:sz w:val="22"/>
          <w:szCs w:val="22"/>
        </w:rPr>
        <w:t>.</w:t>
      </w:r>
      <w:r w:rsidR="00A02E95">
        <w:rPr>
          <w:bCs/>
          <w:sz w:val="22"/>
          <w:szCs w:val="22"/>
        </w:rPr>
        <w:t xml:space="preserve"> </w:t>
      </w:r>
    </w:p>
    <w:p w:rsidR="00680C58" w:rsidRDefault="00A31A23" w:rsidP="007E54D7">
      <w:pPr>
        <w:rPr>
          <w:bCs/>
          <w:sz w:val="22"/>
          <w:szCs w:val="22"/>
        </w:rPr>
      </w:pPr>
      <w:r w:rsidRPr="003D4908">
        <w:rPr>
          <w:bCs/>
          <w:sz w:val="22"/>
          <w:szCs w:val="22"/>
        </w:rPr>
        <w:t xml:space="preserve">Para </w:t>
      </w:r>
      <w:r w:rsidR="00D23A25">
        <w:rPr>
          <w:bCs/>
          <w:sz w:val="22"/>
          <w:szCs w:val="22"/>
        </w:rPr>
        <w:t>dic</w:t>
      </w:r>
      <w:r w:rsidR="002F6253">
        <w:rPr>
          <w:bCs/>
          <w:sz w:val="22"/>
          <w:szCs w:val="22"/>
        </w:rPr>
        <w:t>iem</w:t>
      </w:r>
      <w:r w:rsidR="002B74DC">
        <w:rPr>
          <w:bCs/>
          <w:sz w:val="22"/>
          <w:szCs w:val="22"/>
        </w:rPr>
        <w:t>bre</w:t>
      </w:r>
      <w:r w:rsidR="00680C58">
        <w:rPr>
          <w:bCs/>
          <w:sz w:val="22"/>
          <w:szCs w:val="22"/>
        </w:rPr>
        <w:t xml:space="preserve"> próximo,</w:t>
      </w:r>
      <w:r w:rsidRPr="003D4908">
        <w:rPr>
          <w:bCs/>
          <w:sz w:val="22"/>
          <w:szCs w:val="22"/>
        </w:rPr>
        <w:t xml:space="preserve"> las perspectivas de ventas son optimistas en el </w:t>
      </w:r>
      <w:r w:rsidR="00D23A25">
        <w:rPr>
          <w:bCs/>
          <w:sz w:val="22"/>
          <w:szCs w:val="22"/>
        </w:rPr>
        <w:t>69</w:t>
      </w:r>
      <w:r w:rsidR="00810FBA">
        <w:rPr>
          <w:bCs/>
          <w:sz w:val="22"/>
          <w:szCs w:val="22"/>
        </w:rPr>
        <w:t>,</w:t>
      </w:r>
      <w:r w:rsidRPr="003D4908">
        <w:rPr>
          <w:bCs/>
          <w:sz w:val="22"/>
          <w:szCs w:val="22"/>
        </w:rPr>
        <w:t xml:space="preserve">0 por ciento de los casos, pesimistas en el </w:t>
      </w:r>
      <w:r w:rsidR="001469D2">
        <w:rPr>
          <w:bCs/>
          <w:sz w:val="22"/>
          <w:szCs w:val="22"/>
        </w:rPr>
        <w:t>1</w:t>
      </w:r>
      <w:r w:rsidR="00D23A25">
        <w:rPr>
          <w:bCs/>
          <w:sz w:val="22"/>
          <w:szCs w:val="22"/>
        </w:rPr>
        <w:t>4</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D23A25">
        <w:rPr>
          <w:bCs/>
          <w:sz w:val="22"/>
          <w:szCs w:val="22"/>
        </w:rPr>
        <w:t>17</w:t>
      </w:r>
      <w:r w:rsidRPr="003D4908">
        <w:rPr>
          <w:bCs/>
          <w:sz w:val="22"/>
          <w:szCs w:val="22"/>
        </w:rPr>
        <w:t>,0 por ciento.</w:t>
      </w:r>
      <w:r>
        <w:rPr>
          <w:bCs/>
          <w:sz w:val="22"/>
          <w:szCs w:val="22"/>
        </w:rPr>
        <w:t xml:space="preserve"> </w:t>
      </w:r>
      <w:r w:rsidR="00D23A25">
        <w:rPr>
          <w:bCs/>
          <w:sz w:val="22"/>
          <w:szCs w:val="22"/>
        </w:rPr>
        <w:t>Estas expectativas son influidas por la campaña navideña y fiestas de fin de año.</w:t>
      </w:r>
    </w:p>
    <w:p w:rsidR="00D23A25" w:rsidRDefault="00D23A25" w:rsidP="007E54D7">
      <w:pPr>
        <w:rPr>
          <w:bCs/>
          <w:sz w:val="22"/>
          <w:szCs w:val="22"/>
        </w:rPr>
        <w:sectPr w:rsidR="00D23A25" w:rsidSect="00D8354C">
          <w:headerReference w:type="default" r:id="rId81"/>
          <w:footerReference w:type="even" r:id="rId82"/>
          <w:footerReference w:type="default" r:id="rId83"/>
          <w:headerReference w:type="first" r:id="rId84"/>
          <w:footerReference w:type="first" r:id="rId85"/>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D23A25"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AC4996">
        <w:rPr>
          <w:bCs/>
          <w:sz w:val="22"/>
          <w:szCs w:val="22"/>
        </w:rPr>
        <w:object w:dxaOrig="9689" w:dyaOrig="7468">
          <v:shape id="_x0000_i1047" type="#_x0000_t75" style="width:484.5pt;height:373.5pt" o:ole="">
            <v:imagedata r:id="rId86" o:title=""/>
          </v:shape>
          <o:OLEObject Type="Embed" ProgID="Excel.Sheet.8" ShapeID="_x0000_i1047" DrawAspect="Content" ObjectID="_1420468531" r:id="rId87"/>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EB2A9C" w:rsidRDefault="00EB2A9C">
      <w:pPr>
        <w:pStyle w:val="SBS"/>
        <w:rPr>
          <w:rFonts w:ascii="Times New Roman" w:hAnsi="Times New Roman"/>
          <w:color w:val="000000"/>
          <w:szCs w:val="20"/>
          <w:highlight w:val="yellow"/>
          <w:lang w:val="es-ES"/>
        </w:rPr>
      </w:pPr>
    </w:p>
    <w:p w:rsidR="00782704" w:rsidRPr="0013017C" w:rsidRDefault="00782704" w:rsidP="00782704">
      <w:pPr>
        <w:pStyle w:val="Ttulo4"/>
        <w:keepNext w:val="0"/>
        <w:numPr>
          <w:ilvl w:val="0"/>
          <w:numId w:val="1"/>
        </w:numPr>
        <w:tabs>
          <w:tab w:val="clear" w:pos="-1099"/>
        </w:tabs>
        <w:rPr>
          <w:sz w:val="26"/>
        </w:rPr>
      </w:pPr>
      <w:r w:rsidRPr="0013017C">
        <w:rPr>
          <w:sz w:val="26"/>
        </w:rPr>
        <w:lastRenderedPageBreak/>
        <w:t>TIPO DE CAMBIO</w:t>
      </w:r>
    </w:p>
    <w:p w:rsidR="00782704" w:rsidRPr="00B242ED" w:rsidRDefault="00782704" w:rsidP="00782704">
      <w:pPr>
        <w:rPr>
          <w:b/>
        </w:rPr>
      </w:pPr>
    </w:p>
    <w:p w:rsidR="00782704" w:rsidRDefault="00782704" w:rsidP="00782704">
      <w:pPr>
        <w:rPr>
          <w:b/>
        </w:rPr>
      </w:pPr>
      <w:r w:rsidRPr="00B242ED">
        <w:rPr>
          <w:b/>
        </w:rPr>
        <w:t xml:space="preserve">2.1. </w:t>
      </w:r>
      <w:r w:rsidRPr="00B242ED">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E1121A">
        <w:rPr>
          <w:rFonts w:ascii="Times New Roman" w:hAnsi="Times New Roman"/>
          <w:color w:val="000000"/>
          <w:szCs w:val="20"/>
          <w:lang w:val="es-ES"/>
        </w:rPr>
        <w:t>noviembre</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E1121A">
        <w:rPr>
          <w:rFonts w:ascii="Times New Roman" w:hAnsi="Times New Roman"/>
          <w:color w:val="000000"/>
          <w:szCs w:val="20"/>
          <w:lang w:val="es-ES"/>
        </w:rPr>
        <w:t>3,7</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w:t>
      </w:r>
      <w:r w:rsidR="00E1121A">
        <w:rPr>
          <w:rFonts w:ascii="Times New Roman" w:hAnsi="Times New Roman"/>
          <w:color w:val="000000"/>
          <w:szCs w:val="20"/>
          <w:lang w:val="es-ES"/>
        </w:rPr>
        <w:t>e mes</w:t>
      </w:r>
      <w:r w:rsidR="008B02AE">
        <w:rPr>
          <w:rFonts w:ascii="Times New Roman" w:hAnsi="Times New Roman"/>
          <w:color w:val="000000"/>
          <w:szCs w:val="20"/>
          <w:lang w:val="es-ES"/>
        </w:rPr>
        <w:t>, se cotizó en  S</w:t>
      </w:r>
      <w:r w:rsidR="008B02AE" w:rsidRPr="003D6C32">
        <w:rPr>
          <w:rFonts w:ascii="Times New Roman" w:hAnsi="Times New Roman"/>
          <w:color w:val="000000"/>
          <w:szCs w:val="20"/>
          <w:lang w:val="es-ES"/>
        </w:rPr>
        <w:t>/. 2,</w:t>
      </w:r>
      <w:r w:rsidR="00E1121A">
        <w:rPr>
          <w:rFonts w:ascii="Times New Roman" w:hAnsi="Times New Roman"/>
          <w:color w:val="000000"/>
          <w:szCs w:val="20"/>
          <w:lang w:val="es-ES"/>
        </w:rPr>
        <w:t>59</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sidR="00E1121A">
        <w:rPr>
          <w:rFonts w:ascii="Times New Roman" w:hAnsi="Times New Roman"/>
          <w:color w:val="000000"/>
          <w:szCs w:val="20"/>
          <w:lang w:val="es-ES"/>
        </w:rPr>
        <w:t>61</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w:t>
      </w:r>
      <w:r w:rsidR="00E1121A">
        <w:rPr>
          <w:rFonts w:ascii="Times New Roman" w:hAnsi="Times New Roman"/>
          <w:color w:val="000000"/>
          <w:szCs w:val="20"/>
          <w:lang w:val="es-ES"/>
        </w:rPr>
        <w:t>fue de</w:t>
      </w:r>
      <w:r w:rsidR="00854926">
        <w:rPr>
          <w:rFonts w:ascii="Times New Roman" w:hAnsi="Times New Roman"/>
          <w:color w:val="000000"/>
          <w:szCs w:val="20"/>
          <w:lang w:val="es-ES"/>
        </w:rPr>
        <w:t xml:space="preserve"> S/.2</w:t>
      </w:r>
      <w:r w:rsidR="001F53A6">
        <w:rPr>
          <w:rFonts w:ascii="Times New Roman" w:hAnsi="Times New Roman"/>
          <w:color w:val="000000"/>
          <w:szCs w:val="20"/>
          <w:lang w:val="es-ES"/>
        </w:rPr>
        <w:t>,</w:t>
      </w:r>
      <w:r w:rsidR="0013017C">
        <w:rPr>
          <w:rFonts w:ascii="Times New Roman" w:hAnsi="Times New Roman"/>
          <w:color w:val="000000"/>
          <w:szCs w:val="20"/>
          <w:lang w:val="es-ES"/>
        </w:rPr>
        <w:t>59</w:t>
      </w:r>
      <w:r w:rsidR="00E1121A">
        <w:rPr>
          <w:rFonts w:ascii="Times New Roman" w:hAnsi="Times New Roman"/>
          <w:color w:val="000000"/>
          <w:szCs w:val="20"/>
          <w:lang w:val="es-ES"/>
        </w:rPr>
        <w:t>9</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A35F09" w:rsidP="009C7513">
      <w:pPr>
        <w:pStyle w:val="SBS"/>
        <w:jc w:val="center"/>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AC4996">
        <w:rPr>
          <w:rFonts w:ascii="Times New Roman" w:hAnsi="Times New Roman"/>
          <w:noProof/>
          <w:color w:val="FF0000"/>
          <w:szCs w:val="20"/>
          <w:lang w:val="es-PE" w:eastAsia="es-PE"/>
        </w:rPr>
        <w:object w:dxaOrig="8977" w:dyaOrig="4141">
          <v:shape id="_x0000_i1048" type="#_x0000_t75" style="width:448.5pt;height:207pt" o:ole="">
            <v:imagedata r:id="rId88" o:title=""/>
          </v:shape>
          <o:OLEObject Type="Embed" ProgID="Excel.Sheet.8" ShapeID="_x0000_i1048" DrawAspect="Content" ObjectID="_1420468532" r:id="rId89"/>
        </w:object>
      </w:r>
    </w:p>
    <w:p w:rsidR="00852557" w:rsidRPr="00F90504" w:rsidRDefault="00852557">
      <w:pPr>
        <w:pStyle w:val="Ttulo1"/>
        <w:numPr>
          <w:ilvl w:val="0"/>
          <w:numId w:val="1"/>
        </w:numPr>
        <w:rPr>
          <w:sz w:val="26"/>
        </w:rPr>
      </w:pPr>
      <w:bookmarkStart w:id="8" w:name="_Hlt80439059"/>
      <w:bookmarkStart w:id="9" w:name="_Toc106181550"/>
      <w:r w:rsidRPr="00F90504">
        <w:rPr>
          <w:sz w:val="26"/>
        </w:rPr>
        <w:lastRenderedPageBreak/>
        <w:t>SECTOR  EXTERNO</w:t>
      </w:r>
    </w:p>
    <w:p w:rsidR="00852557" w:rsidRPr="001F750C" w:rsidRDefault="00852557">
      <w:pPr>
        <w:pStyle w:val="times"/>
        <w:spacing w:before="0" w:beforeAutospacing="0" w:after="0" w:afterAutospacing="0"/>
        <w:rPr>
          <w:rFonts w:eastAsia="Times New Roman"/>
        </w:rPr>
        <w:sectPr w:rsidR="00852557" w:rsidRPr="001F750C">
          <w:headerReference w:type="default" r:id="rId90"/>
          <w:footerReference w:type="default" r:id="rId91"/>
          <w:footerReference w:type="first" r:id="rId92"/>
          <w:type w:val="continuous"/>
          <w:pgSz w:w="11907" w:h="16840" w:code="9"/>
          <w:pgMar w:top="1701" w:right="1418" w:bottom="1418" w:left="1701" w:header="1134" w:footer="1134" w:gutter="0"/>
          <w:paperSrc w:first="15"/>
          <w:cols w:space="720"/>
          <w:titlePg/>
        </w:sectPr>
      </w:pPr>
    </w:p>
    <w:p w:rsidR="00852557" w:rsidRPr="001F750C" w:rsidRDefault="00852557"/>
    <w:p w:rsidR="00852557" w:rsidRPr="00C25AF5" w:rsidRDefault="00852557">
      <w:pPr>
        <w:pStyle w:val="Ttulo2"/>
        <w:numPr>
          <w:ilvl w:val="1"/>
          <w:numId w:val="1"/>
        </w:numPr>
        <w:rPr>
          <w:rFonts w:ascii="Times New Roman" w:hAnsi="Times New Roman"/>
          <w:sz w:val="22"/>
        </w:rPr>
      </w:pPr>
      <w:bookmarkStart w:id="10" w:name="_Hlt70502150"/>
      <w:bookmarkEnd w:id="10"/>
      <w:r w:rsidRPr="00C25AF5">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C25AF5" w:rsidRDefault="00C25AF5" w:rsidP="00C25AF5">
      <w:pPr>
        <w:pStyle w:val="Sangradetextonormal"/>
        <w:ind w:firstLine="0"/>
        <w:rPr>
          <w:sz w:val="22"/>
        </w:rPr>
      </w:pPr>
      <w:r>
        <w:rPr>
          <w:sz w:val="22"/>
        </w:rPr>
        <w:lastRenderedPageBreak/>
        <w:t xml:space="preserve">En noviembre, las </w:t>
      </w:r>
      <w:r>
        <w:rPr>
          <w:b/>
          <w:sz w:val="22"/>
        </w:rPr>
        <w:t>exportaciones</w:t>
      </w:r>
      <w:r>
        <w:rPr>
          <w:sz w:val="22"/>
        </w:rPr>
        <w:t xml:space="preserve"> del departamento de Piura fueron de US$309,9 millones, lo que significó una incremento de 125,8 por ciento respecto a las de igual mes del año pasado, por la expansión en las ventas de productos tradicionales (554,7 por ciento) y no tradicionales (37,4 por ciento). Dentro d</w:t>
      </w:r>
      <w:r w:rsidRPr="00B53B01">
        <w:rPr>
          <w:sz w:val="22"/>
        </w:rPr>
        <w:t xml:space="preserve">el primer grupo, </w:t>
      </w:r>
      <w:r>
        <w:rPr>
          <w:sz w:val="22"/>
        </w:rPr>
        <w:t>aumentaron los envíos de</w:t>
      </w:r>
      <w:r w:rsidRPr="00B53B01">
        <w:rPr>
          <w:sz w:val="22"/>
        </w:rPr>
        <w:t xml:space="preserve"> petróleo y derivado</w:t>
      </w:r>
      <w:r>
        <w:rPr>
          <w:sz w:val="22"/>
        </w:rPr>
        <w:t>s</w:t>
      </w:r>
      <w:r w:rsidR="001400F6">
        <w:rPr>
          <w:sz w:val="22"/>
        </w:rPr>
        <w:t xml:space="preserve"> (1 243,7 por ciento)</w:t>
      </w:r>
      <w:r>
        <w:rPr>
          <w:sz w:val="22"/>
        </w:rPr>
        <w:t xml:space="preserve">, oleína </w:t>
      </w:r>
      <w:r w:rsidRPr="007A2C26">
        <w:rPr>
          <w:sz w:val="22"/>
        </w:rPr>
        <w:t>(</w:t>
      </w:r>
      <w:r>
        <w:rPr>
          <w:sz w:val="22"/>
        </w:rPr>
        <w:t xml:space="preserve">133,7 </w:t>
      </w:r>
      <w:r w:rsidRPr="007A2C26">
        <w:rPr>
          <w:sz w:val="22"/>
        </w:rPr>
        <w:t>por ciento)</w:t>
      </w:r>
      <w:r>
        <w:rPr>
          <w:sz w:val="22"/>
        </w:rPr>
        <w:t>, café</w:t>
      </w:r>
      <w:r w:rsidRPr="00B53B01">
        <w:rPr>
          <w:sz w:val="22"/>
        </w:rPr>
        <w:t xml:space="preserve"> (</w:t>
      </w:r>
      <w:r>
        <w:rPr>
          <w:sz w:val="22"/>
        </w:rPr>
        <w:t xml:space="preserve">1,4 </w:t>
      </w:r>
      <w:r w:rsidRPr="00B53B01">
        <w:rPr>
          <w:sz w:val="22"/>
        </w:rPr>
        <w:t>por ciento)</w:t>
      </w:r>
      <w:r>
        <w:rPr>
          <w:sz w:val="22"/>
        </w:rPr>
        <w:t xml:space="preserve"> y azúcar (83,2 por ciento) y disminuyeron los de harina de pescado (-24,7 por ciento)</w:t>
      </w:r>
      <w:r w:rsidRPr="007A2C26">
        <w:rPr>
          <w:sz w:val="22"/>
        </w:rPr>
        <w:t>.</w:t>
      </w:r>
    </w:p>
    <w:p w:rsidR="00C25AF5" w:rsidRDefault="00C25AF5" w:rsidP="00C25AF5">
      <w:pPr>
        <w:pStyle w:val="Sangradetextonormal"/>
        <w:ind w:firstLine="0"/>
        <w:rPr>
          <w:sz w:val="22"/>
        </w:rPr>
      </w:pPr>
    </w:p>
    <w:p w:rsidR="00C25AF5" w:rsidRDefault="00C25AF5" w:rsidP="00C25AF5">
      <w:pPr>
        <w:pStyle w:val="Sangradetextonormal"/>
        <w:ind w:firstLine="0"/>
        <w:rPr>
          <w:sz w:val="22"/>
        </w:rPr>
      </w:pPr>
    </w:p>
    <w:p w:rsidR="00C25AF5" w:rsidRDefault="00C25AF5" w:rsidP="00C25AF5">
      <w:pPr>
        <w:pStyle w:val="Sangradetextonormal"/>
        <w:ind w:firstLine="0"/>
        <w:rPr>
          <w:sz w:val="22"/>
        </w:rPr>
      </w:pPr>
      <w:r w:rsidRPr="007A2C26">
        <w:rPr>
          <w:sz w:val="22"/>
        </w:rPr>
        <w:lastRenderedPageBreak/>
        <w:t>En</w:t>
      </w:r>
      <w:r>
        <w:rPr>
          <w:sz w:val="22"/>
        </w:rPr>
        <w:t>tre los</w:t>
      </w:r>
      <w:r w:rsidRPr="006C2581">
        <w:rPr>
          <w:sz w:val="22"/>
        </w:rPr>
        <w:t xml:space="preserve"> </w:t>
      </w:r>
      <w:r>
        <w:rPr>
          <w:sz w:val="22"/>
        </w:rPr>
        <w:t xml:space="preserve">productos </w:t>
      </w:r>
      <w:r w:rsidRPr="006C2581">
        <w:rPr>
          <w:sz w:val="22"/>
        </w:rPr>
        <w:t>no</w:t>
      </w:r>
      <w:r w:rsidRPr="002062D7">
        <w:rPr>
          <w:color w:val="FF0000"/>
          <w:sz w:val="22"/>
        </w:rPr>
        <w:t xml:space="preserve"> </w:t>
      </w:r>
      <w:r w:rsidRPr="005221BB">
        <w:rPr>
          <w:sz w:val="22"/>
        </w:rPr>
        <w:t>tradicionales</w:t>
      </w:r>
      <w:r>
        <w:rPr>
          <w:sz w:val="22"/>
        </w:rPr>
        <w:t xml:space="preserve">, el incremento más significativo se dio en las exportaciones de etanol (1 664,7 por ciento), pero también aumentaron las de </w:t>
      </w:r>
      <w:r w:rsidRPr="005221BB">
        <w:rPr>
          <w:sz w:val="22"/>
        </w:rPr>
        <w:t>fosfatos naturales (</w:t>
      </w:r>
      <w:r>
        <w:rPr>
          <w:sz w:val="22"/>
        </w:rPr>
        <w:t xml:space="preserve">49,1 </w:t>
      </w:r>
      <w:r w:rsidRPr="005221BB">
        <w:rPr>
          <w:sz w:val="22"/>
        </w:rPr>
        <w:t>por ciento)</w:t>
      </w:r>
      <w:r>
        <w:rPr>
          <w:sz w:val="22"/>
        </w:rPr>
        <w:t>,</w:t>
      </w:r>
      <w:r w:rsidRPr="005221BB">
        <w:rPr>
          <w:sz w:val="22"/>
        </w:rPr>
        <w:t xml:space="preserve"> </w:t>
      </w:r>
      <w:r>
        <w:rPr>
          <w:sz w:val="22"/>
        </w:rPr>
        <w:t xml:space="preserve">pota congelada (168,7 por ciento), </w:t>
      </w:r>
      <w:r w:rsidRPr="005221BB">
        <w:rPr>
          <w:sz w:val="22"/>
        </w:rPr>
        <w:t>conservas de pescado (</w:t>
      </w:r>
      <w:r>
        <w:rPr>
          <w:sz w:val="22"/>
        </w:rPr>
        <w:t xml:space="preserve">39,3 </w:t>
      </w:r>
      <w:r w:rsidRPr="005221BB">
        <w:rPr>
          <w:sz w:val="22"/>
        </w:rPr>
        <w:t>por ciento)</w:t>
      </w:r>
      <w:r>
        <w:rPr>
          <w:sz w:val="22"/>
        </w:rPr>
        <w:t>, mangos (482,2 por ciento), bananas (7,8 por ciento), uvas (19,1 por ciento), frijoles y otras legumbres (18,9 por ciento), pimientos preparados (63,7</w:t>
      </w:r>
      <w:r w:rsidRPr="005221BB">
        <w:rPr>
          <w:sz w:val="22"/>
        </w:rPr>
        <w:t xml:space="preserve"> por ciento)</w:t>
      </w:r>
      <w:r>
        <w:rPr>
          <w:sz w:val="22"/>
        </w:rPr>
        <w:t xml:space="preserve"> e hilados (137,9 por ciento). En contraste, cayeron las ventas de pescado congelado (-27,2 por ciento) y conchas de abanico (-16,3 por ciento).</w:t>
      </w:r>
    </w:p>
    <w:p w:rsidR="00803BBF" w:rsidRDefault="00803BBF" w:rsidP="00803BBF">
      <w:pPr>
        <w:pStyle w:val="Sangradetextonormal"/>
        <w:ind w:firstLine="0"/>
        <w:rPr>
          <w:sz w:val="22"/>
        </w:rPr>
      </w:pPr>
    </w:p>
    <w:p w:rsidR="001F750C" w:rsidRDefault="001F750C" w:rsidP="001F750C">
      <w:pPr>
        <w:pStyle w:val="Sangradetextonormal"/>
        <w:ind w:firstLine="0"/>
        <w:rPr>
          <w:sz w:val="22"/>
        </w:rPr>
        <w:sectPr w:rsidR="001F750C"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6C39FC">
      <w:pPr>
        <w:jc w:val="center"/>
        <w:rPr>
          <w:sz w:val="22"/>
        </w:rPr>
      </w:pPr>
      <w:r w:rsidRPr="006503A5">
        <w:rPr>
          <w:sz w:val="22"/>
        </w:rPr>
        <w:object w:dxaOrig="7395" w:dyaOrig="5430">
          <v:shape id="_x0000_i1049" type="#_x0000_t75" style="width:369.75pt;height:271.5pt" o:ole="">
            <v:imagedata r:id="rId93" o:title=""/>
          </v:shape>
          <o:OLEObject Type="Embed" ProgID="Excel.Sheet.12" ShapeID="_x0000_i1049" DrawAspect="Content" ObjectID="_1420468533" r:id="rId94"/>
        </w:object>
      </w:r>
    </w:p>
    <w:p w:rsidR="00C25AF5" w:rsidRDefault="00C25AF5">
      <w:pPr>
        <w:jc w:val="center"/>
        <w:rPr>
          <w:sz w:val="22"/>
        </w:rPr>
      </w:pPr>
    </w:p>
    <w:p w:rsidR="00596288" w:rsidRDefault="00596288" w:rsidP="00596288">
      <w:pPr>
        <w:rPr>
          <w:sz w:val="22"/>
        </w:rPr>
      </w:pPr>
    </w:p>
    <w:p w:rsidR="00596288" w:rsidRDefault="00596288" w:rsidP="000865D1">
      <w:pPr>
        <w:rPr>
          <w:sz w:val="22"/>
        </w:rPr>
      </w:pPr>
    </w:p>
    <w:p w:rsidR="00A243CF" w:rsidRDefault="00A243CF" w:rsidP="000865D1">
      <w:pPr>
        <w:rPr>
          <w:sz w:val="22"/>
        </w:rPr>
        <w:sectPr w:rsidR="00A243CF">
          <w:type w:val="continuous"/>
          <w:pgSz w:w="11907" w:h="16840" w:code="9"/>
          <w:pgMar w:top="1701" w:right="1418" w:bottom="1418" w:left="1701" w:header="1134" w:footer="1134" w:gutter="0"/>
          <w:paperSrc w:first="15"/>
          <w:cols w:space="708"/>
          <w:titlePg/>
        </w:sectPr>
      </w:pPr>
    </w:p>
    <w:p w:rsidR="00C25AF5" w:rsidRDefault="00C25AF5" w:rsidP="00C25AF5">
      <w:pPr>
        <w:rPr>
          <w:sz w:val="22"/>
        </w:rPr>
      </w:pPr>
      <w:r>
        <w:rPr>
          <w:sz w:val="22"/>
        </w:rPr>
        <w:lastRenderedPageBreak/>
        <w:t>En el período enero-noviembre, las exportaciones crecieron en 18,3 por ciento con relación a igual período del año anterior.</w:t>
      </w:r>
    </w:p>
    <w:p w:rsidR="00C25AF5" w:rsidRDefault="00C25AF5" w:rsidP="00C25AF5">
      <w:pPr>
        <w:rPr>
          <w:sz w:val="22"/>
        </w:rPr>
      </w:pPr>
      <w:r>
        <w:rPr>
          <w:sz w:val="22"/>
        </w:rPr>
        <w:t>La participación de las exportaciones tradicionales disminuyó de</w:t>
      </w:r>
      <w:r>
        <w:rPr>
          <w:bCs/>
          <w:sz w:val="22"/>
        </w:rPr>
        <w:t xml:space="preserve"> 51,8 por ciento a </w:t>
      </w:r>
      <w:r>
        <w:rPr>
          <w:bCs/>
          <w:sz w:val="22"/>
        </w:rPr>
        <w:br w:type="column"/>
      </w:r>
      <w:r>
        <w:rPr>
          <w:bCs/>
          <w:sz w:val="22"/>
        </w:rPr>
        <w:lastRenderedPageBreak/>
        <w:t>48,3 por ciento</w:t>
      </w:r>
      <w:r>
        <w:rPr>
          <w:sz w:val="22"/>
        </w:rPr>
        <w:t>. De otro lado, la importancia relativa de los fosfatos naturales pasó de 9,7 a 15,8 por ciento, mientras que la de etanol lo hizo de 0,1 a 1,8 por ciento.</w:t>
      </w:r>
    </w:p>
    <w:p w:rsidR="00C25AF5" w:rsidRDefault="00C25AF5" w:rsidP="00A63B51">
      <w:pPr>
        <w:rPr>
          <w:bCs/>
          <w:sz w:val="22"/>
        </w:rPr>
        <w:sectPr w:rsidR="00C25AF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A35F09" w:rsidP="00A63B51">
      <w:pPr>
        <w:rPr>
          <w:bCs/>
          <w:sz w:val="22"/>
        </w:rPr>
      </w:pPr>
      <w:r w:rsidRPr="006503A5">
        <w:rPr>
          <w:bCs/>
          <w:sz w:val="22"/>
        </w:rPr>
        <w:object w:dxaOrig="20090" w:dyaOrig="9841">
          <v:shape id="_x0000_i1050" type="#_x0000_t75" style="width:438pt;height:177pt" o:ole="">
            <v:imagedata r:id="rId95" o:title=""/>
          </v:shape>
          <o:OLEObject Type="Embed" ProgID="Excel.Sheet.12" ShapeID="_x0000_i1050" DrawAspect="Content" ObjectID="_1420468534" r:id="rId96"/>
        </w:object>
      </w:r>
    </w:p>
    <w:p w:rsidR="00AF1200" w:rsidRDefault="00AF1200" w:rsidP="00A63B51">
      <w:pPr>
        <w:rPr>
          <w:bCs/>
          <w:sz w:val="22"/>
        </w:rPr>
      </w:pPr>
    </w:p>
    <w:p w:rsidR="00AF1200" w:rsidRDefault="00AF1200" w:rsidP="00A63B51">
      <w:pPr>
        <w:rPr>
          <w:bCs/>
          <w:sz w:val="22"/>
        </w:rPr>
        <w:sectPr w:rsidR="00AF1200" w:rsidSect="00027A05">
          <w:type w:val="continuous"/>
          <w:pgSz w:w="11907" w:h="16840" w:code="9"/>
          <w:pgMar w:top="1701" w:right="1418" w:bottom="1418" w:left="1701" w:header="1134" w:footer="1134" w:gutter="0"/>
          <w:paperSrc w:first="15"/>
          <w:cols w:space="708"/>
          <w:titlePg/>
        </w:sectPr>
      </w:pPr>
    </w:p>
    <w:p w:rsidR="00701F39" w:rsidRDefault="00CE7ABC" w:rsidP="006C39FC">
      <w:pPr>
        <w:pStyle w:val="Sangradetextonormal"/>
        <w:ind w:left="-340" w:firstLine="0"/>
        <w:rPr>
          <w:sz w:val="22"/>
        </w:rPr>
      </w:pPr>
      <w:r>
        <w:rPr>
          <w:noProof/>
          <w:sz w:val="22"/>
          <w:lang w:val="es-PE" w:eastAsia="es-PE"/>
        </w:rPr>
        <w:pict>
          <v:shape id="_x0000_s410002" type="#_x0000_t75" style="position:absolute;left:0;text-align:left;margin-left:38.7pt;margin-top:180.8pt;width:384.8pt;height:304.65pt;z-index:251804160">
            <v:imagedata r:id="rId97" o:title=""/>
            <w10:wrap type="square"/>
          </v:shape>
          <o:OLEObject Type="Embed" ProgID="Excel.Sheet.12" ShapeID="_x0000_s410002" DrawAspect="Content" ObjectID="_1420468556" r:id="rId98"/>
        </w:pict>
      </w:r>
      <w:r w:rsidR="00A35F09" w:rsidRPr="006503A5">
        <w:rPr>
          <w:sz w:val="22"/>
        </w:rPr>
        <w:object w:dxaOrig="20040" w:dyaOrig="9840">
          <v:shape id="_x0000_i1051" type="#_x0000_t75" style="width:465.75pt;height:180.75pt" o:ole="">
            <v:imagedata r:id="rId99" o:title=""/>
          </v:shape>
          <o:OLEObject Type="Embed" ProgID="Excel.Sheet.12" ShapeID="_x0000_i1051" DrawAspect="Content" ObjectID="_1420468535" r:id="rId100"/>
        </w:object>
      </w:r>
    </w:p>
    <w:p w:rsidR="00A05534" w:rsidRDefault="00A05534" w:rsidP="00ED1B8C">
      <w:pPr>
        <w:pStyle w:val="Sangradetextonormal"/>
        <w:ind w:firstLine="0"/>
      </w:pPr>
    </w:p>
    <w:p w:rsidR="00A243CF" w:rsidRDefault="00A243CF" w:rsidP="00ED1B8C">
      <w:pPr>
        <w:pStyle w:val="Sangradetextonormal"/>
        <w:ind w:firstLine="0"/>
      </w:pPr>
    </w:p>
    <w:p w:rsidR="00A243CF" w:rsidRDefault="00A243CF" w:rsidP="00ED1B8C">
      <w:pPr>
        <w:pStyle w:val="Sangradetextonormal"/>
        <w:ind w:firstLine="0"/>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AF1200" w:rsidRDefault="00AF1200" w:rsidP="008B54BE">
      <w:pPr>
        <w:pStyle w:val="Sangradetextonormal"/>
        <w:ind w:left="-57" w:firstLine="0"/>
        <w:jc w:val="center"/>
      </w:pPr>
    </w:p>
    <w:p w:rsidR="00AF1200" w:rsidRDefault="00AF1200" w:rsidP="008B54BE">
      <w:pPr>
        <w:pStyle w:val="Sangradetextonormal"/>
        <w:ind w:left="-57" w:firstLine="0"/>
        <w:jc w:val="center"/>
      </w:pPr>
    </w:p>
    <w:p w:rsidR="00AF1200" w:rsidRDefault="00AF1200" w:rsidP="008B54BE">
      <w:pPr>
        <w:pStyle w:val="Sangradetextonormal"/>
        <w:ind w:left="-57" w:firstLine="0"/>
        <w:jc w:val="center"/>
      </w:pPr>
    </w:p>
    <w:p w:rsidR="00852557" w:rsidRDefault="00C25AF5" w:rsidP="00D0738F">
      <w:pPr>
        <w:pStyle w:val="Sangradetextonormal"/>
        <w:ind w:left="-283" w:firstLine="0"/>
        <w:jc w:val="center"/>
        <w:sectPr w:rsidR="00852557">
          <w:type w:val="continuous"/>
          <w:pgSz w:w="11907" w:h="16840" w:code="9"/>
          <w:pgMar w:top="1701" w:right="1418" w:bottom="1418" w:left="1701" w:header="1134" w:footer="1134" w:gutter="0"/>
          <w:paperSrc w:first="15"/>
          <w:cols w:space="720"/>
          <w:titlePg/>
        </w:sectPr>
      </w:pPr>
      <w:r>
        <w:object w:dxaOrig="9927" w:dyaOrig="9642">
          <v:shape id="_x0000_i1052" type="#_x0000_t75" style="width:459pt;height:482.25pt" o:ole="">
            <v:imagedata r:id="rId101" o:title=""/>
          </v:shape>
          <o:OLEObject Type="Embed" ProgID="Excel.Sheet.12" ShapeID="_x0000_i1052" DrawAspect="Content" ObjectID="_1420468536" r:id="rId102"/>
        </w:object>
      </w:r>
    </w:p>
    <w:p w:rsidR="000865D1" w:rsidRDefault="000865D1"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sectPr w:rsidR="00A243CF"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5559C6" w:rsidRDefault="00CE7ABC" w:rsidP="005559C6">
      <w:pPr>
        <w:pStyle w:val="Sangradetextonormal"/>
        <w:ind w:firstLine="0"/>
        <w:sectPr w:rsidR="005559C6" w:rsidSect="009A1AFB">
          <w:type w:val="continuous"/>
          <w:pgSz w:w="11907" w:h="16840" w:code="9"/>
          <w:pgMar w:top="1701" w:right="1418" w:bottom="1418" w:left="1701" w:header="1134" w:footer="1134" w:gutter="0"/>
          <w:paperSrc w:first="15"/>
          <w:cols w:space="720"/>
          <w:titlePg/>
        </w:sectPr>
      </w:pPr>
      <w:r w:rsidRPr="00CE7ABC">
        <w:rPr>
          <w:noProof/>
          <w:lang w:val="es-ES" w:eastAsia="en-US"/>
        </w:rPr>
        <w:pict>
          <v:shape id="_x0000_s409702" type="#_x0000_t202" style="position:absolute;left:0;text-align:left;margin-left:419.25pt;margin-top:18.35pt;width:28.2pt;height:22.5pt;z-index:251798016;mso-width-relative:margin;mso-height-relative:margin" stroked="f">
            <v:textbox>
              <w:txbxContent>
                <w:p w:rsidR="006913BD" w:rsidRPr="005559C6" w:rsidRDefault="006913BD" w:rsidP="005559C6">
                  <w:pPr>
                    <w:rPr>
                      <w:szCs w:val="20"/>
                    </w:rPr>
                  </w:pPr>
                </w:p>
              </w:txbxContent>
            </v:textbox>
          </v:shape>
        </w:pict>
      </w:r>
      <w:r w:rsidRPr="00CE7ABC">
        <w:rPr>
          <w:noProof/>
          <w:lang w:val="es-ES" w:eastAsia="en-US"/>
        </w:rPr>
        <w:pict>
          <v:shape id="_x0000_s409651" type="#_x0000_t202" style="position:absolute;left:0;text-align:left;margin-left:421.95pt;margin-top:26pt;width:30.75pt;height:21pt;z-index:251783680;mso-width-relative:margin;mso-height-relative:margin" stroked="f">
            <v:textbox style="mso-next-textbox:#_x0000_s409651">
              <w:txbxContent>
                <w:p w:rsidR="006913BD" w:rsidRPr="003F524A" w:rsidRDefault="006913BD">
                  <w:pPr>
                    <w:rPr>
                      <w:sz w:val="20"/>
                      <w:szCs w:val="20"/>
                      <w:lang w:val="es-PE"/>
                    </w:rPr>
                  </w:pPr>
                </w:p>
              </w:txbxContent>
            </v:textbox>
          </v:shape>
        </w:pict>
      </w:r>
    </w:p>
    <w:p w:rsidR="005559C6" w:rsidRPr="00DA433C" w:rsidRDefault="005559C6" w:rsidP="005559C6">
      <w:pPr>
        <w:pStyle w:val="Sangradetextonormal"/>
        <w:ind w:firstLine="0"/>
        <w:rPr>
          <w:sz w:val="22"/>
          <w:szCs w:val="22"/>
        </w:rPr>
      </w:pPr>
      <w:r>
        <w:lastRenderedPageBreak/>
        <w:t>En el período e</w:t>
      </w:r>
      <w:r>
        <w:rPr>
          <w:sz w:val="22"/>
          <w:szCs w:val="22"/>
        </w:rPr>
        <w:t xml:space="preserve">nero-noviembre de </w:t>
      </w:r>
      <w:r w:rsidRPr="00DA433C">
        <w:rPr>
          <w:sz w:val="22"/>
          <w:szCs w:val="22"/>
        </w:rPr>
        <w:t xml:space="preserve">2011, </w:t>
      </w:r>
      <w:r>
        <w:rPr>
          <w:sz w:val="22"/>
          <w:szCs w:val="22"/>
        </w:rPr>
        <w:t xml:space="preserve"> </w:t>
      </w:r>
      <w:r w:rsidRPr="00DA433C">
        <w:rPr>
          <w:sz w:val="22"/>
          <w:szCs w:val="22"/>
        </w:rPr>
        <w:t xml:space="preserve">los principales países de destino presentaron </w:t>
      </w:r>
      <w:r w:rsidRPr="00DA433C">
        <w:rPr>
          <w:sz w:val="22"/>
          <w:szCs w:val="22"/>
        </w:rPr>
        <w:lastRenderedPageBreak/>
        <w:t>la siguiente estructura de adquisiciones, según productos:</w:t>
      </w:r>
    </w:p>
    <w:p w:rsidR="003120C0" w:rsidRDefault="003120C0" w:rsidP="008B54BE">
      <w:pPr>
        <w:pStyle w:val="Sangradetextonormal"/>
        <w:ind w:firstLine="0"/>
        <w:sectPr w:rsidR="003120C0" w:rsidSect="005559C6">
          <w:type w:val="continuous"/>
          <w:pgSz w:w="11907" w:h="16840" w:code="9"/>
          <w:pgMar w:top="1701" w:right="1418" w:bottom="1418" w:left="1701" w:header="1134" w:footer="1134" w:gutter="0"/>
          <w:paperSrc w:first="15"/>
          <w:cols w:num="2" w:space="720"/>
          <w:titlePg/>
        </w:sectPr>
      </w:pPr>
    </w:p>
    <w:p w:rsidR="00F90504" w:rsidRDefault="00F90504" w:rsidP="001A0A0D">
      <w:pPr>
        <w:pStyle w:val="Sangradetextonormal"/>
        <w:ind w:left="-794"/>
        <w:jc w:val="center"/>
      </w:pPr>
    </w:p>
    <w:p w:rsidR="005559C6" w:rsidRDefault="005559C6" w:rsidP="001A0A0D">
      <w:pPr>
        <w:pStyle w:val="Sangradetextonormal"/>
        <w:ind w:left="-794"/>
        <w:jc w:val="center"/>
        <w:sectPr w:rsidR="005559C6" w:rsidSect="005559C6">
          <w:type w:val="continuous"/>
          <w:pgSz w:w="11907" w:h="16840" w:code="9"/>
          <w:pgMar w:top="1701" w:right="1418" w:bottom="1418" w:left="1701" w:header="1134" w:footer="1134" w:gutter="0"/>
          <w:paperSrc w:first="15"/>
          <w:cols w:space="720"/>
          <w:titlePg/>
        </w:sectPr>
      </w:pPr>
    </w:p>
    <w:p w:rsidR="0057590E" w:rsidRDefault="005559C6" w:rsidP="001A0A0D">
      <w:pPr>
        <w:pStyle w:val="Sangradetextonormal"/>
        <w:ind w:left="-794"/>
        <w:jc w:val="center"/>
      </w:pPr>
      <w:r>
        <w:object w:dxaOrig="6549" w:dyaOrig="14320">
          <v:shape id="_x0000_i1053" type="#_x0000_t75" style="width:301.5pt;height:624.75pt" o:ole="">
            <v:imagedata r:id="rId103" o:title=""/>
          </v:shape>
          <o:OLEObject Type="Embed" ProgID="Excel.Sheet.12" ShapeID="_x0000_i1053" DrawAspect="Content" ObjectID="_1420468537" r:id="rId104"/>
        </w:object>
      </w:r>
    </w:p>
    <w:p w:rsidR="005559C6" w:rsidRDefault="005559C6" w:rsidP="001A0A0D">
      <w:pPr>
        <w:pStyle w:val="Sangradetextonormal"/>
        <w:ind w:left="-794"/>
        <w:jc w:val="center"/>
        <w:sectPr w:rsidR="005559C6" w:rsidSect="009A1AFB">
          <w:type w:val="continuous"/>
          <w:pgSz w:w="11907" w:h="16840" w:code="9"/>
          <w:pgMar w:top="1701" w:right="1418" w:bottom="1418" w:left="1701" w:header="1134" w:footer="1134" w:gutter="0"/>
          <w:paperSrc w:first="15"/>
          <w:cols w:space="720"/>
          <w:titlePg/>
        </w:sectPr>
      </w:pPr>
    </w:p>
    <w:p w:rsidR="0017506B" w:rsidRDefault="00CE7ABC"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r w:rsidRPr="00CE7ABC">
        <w:rPr>
          <w:noProof/>
          <w:lang w:val="es-PE" w:eastAsia="es-PE"/>
        </w:rPr>
        <w:lastRenderedPageBreak/>
        <w:pict>
          <v:shape id="_x0000_s409703" type="#_x0000_t202" style="position:absolute;left:0;text-align:left;margin-left:421.95pt;margin-top:7.1pt;width:28.2pt;height:22.5pt;z-index:251799040;mso-width-relative:margin;mso-height-relative:margin" stroked="f">
            <v:textbox>
              <w:txbxContent>
                <w:p w:rsidR="006913BD" w:rsidRPr="004A4311" w:rsidRDefault="006913BD" w:rsidP="004A4311">
                  <w:pPr>
                    <w:rPr>
                      <w:sz w:val="20"/>
                      <w:szCs w:val="20"/>
                      <w:lang w:val="es-PE"/>
                    </w:rPr>
                  </w:pPr>
                  <w:r w:rsidRPr="004A4311">
                    <w:rPr>
                      <w:sz w:val="20"/>
                      <w:szCs w:val="20"/>
                      <w:lang w:val="es-PE"/>
                    </w:rPr>
                    <w:t>1</w:t>
                  </w:r>
                  <w:r>
                    <w:rPr>
                      <w:sz w:val="20"/>
                      <w:szCs w:val="20"/>
                      <w:lang w:val="es-PE"/>
                    </w:rPr>
                    <w:t>7</w:t>
                  </w:r>
                </w:p>
              </w:txbxContent>
            </v:textbox>
          </v:shape>
        </w:pict>
      </w:r>
    </w:p>
    <w:p w:rsidR="005559C6" w:rsidRDefault="005559C6" w:rsidP="005559C6">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2A14B6" w:rsidRDefault="002A14B6" w:rsidP="00396AC2">
      <w:pPr>
        <w:pStyle w:val="Sangradetextonormal"/>
        <w:ind w:firstLine="0"/>
        <w:rPr>
          <w:sz w:val="22"/>
        </w:rPr>
      </w:pPr>
    </w:p>
    <w:p w:rsidR="00F143AB" w:rsidRDefault="00F143AB" w:rsidP="00396AC2">
      <w:pPr>
        <w:pStyle w:val="Sangradetextonormal"/>
        <w:ind w:firstLine="0"/>
        <w:rPr>
          <w:sz w:val="22"/>
        </w:rPr>
        <w:sectPr w:rsidR="00F143AB" w:rsidSect="002A14B6">
          <w:type w:val="continuous"/>
          <w:pgSz w:w="11907" w:h="16840" w:code="9"/>
          <w:pgMar w:top="1701" w:right="1418" w:bottom="1418" w:left="1701" w:header="1134" w:footer="1134" w:gutter="0"/>
          <w:paperSrc w:first="15"/>
          <w:cols w:num="2" w:space="720"/>
          <w:titlePg/>
        </w:sectPr>
      </w:pPr>
    </w:p>
    <w:p w:rsidR="00A52CE0" w:rsidRDefault="005559C6" w:rsidP="00A52CE0">
      <w:pPr>
        <w:pStyle w:val="Sangradetextonormal"/>
        <w:ind w:firstLine="0"/>
        <w:jc w:val="center"/>
        <w:rPr>
          <w:color w:val="FF6600"/>
          <w:sz w:val="22"/>
        </w:rPr>
      </w:pPr>
      <w:r w:rsidRPr="00206651">
        <w:rPr>
          <w:color w:val="FF6600"/>
          <w:sz w:val="22"/>
        </w:rPr>
        <w:object w:dxaOrig="6835" w:dyaOrig="16300">
          <v:shape id="_x0000_i1054" type="#_x0000_t75" style="width:309pt;height:632.25pt" o:ole="">
            <v:imagedata r:id="rId105" o:title=""/>
          </v:shape>
          <o:OLEObject Type="Embed" ProgID="Excel.Sheet.12" ShapeID="_x0000_i1054" DrawAspect="Content" ObjectID="_1420468538" r:id="rId106"/>
        </w:object>
      </w:r>
    </w:p>
    <w:p w:rsidR="00803BBF" w:rsidRDefault="00803BBF" w:rsidP="00A52CE0">
      <w:pPr>
        <w:pStyle w:val="Sangradetextonormal"/>
        <w:ind w:firstLine="0"/>
        <w:jc w:val="center"/>
        <w:rPr>
          <w:sz w:val="22"/>
        </w:rPr>
        <w:sectPr w:rsidR="00803BBF" w:rsidSect="00A52CE0">
          <w:type w:val="continuous"/>
          <w:pgSz w:w="11907" w:h="16840" w:code="9"/>
          <w:pgMar w:top="1701" w:right="1418" w:bottom="1418" w:left="1701" w:header="1134" w:footer="1134" w:gutter="0"/>
          <w:paperSrc w:first="15"/>
          <w:cols w:space="720"/>
          <w:titlePg/>
        </w:sect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852557" w:rsidRPr="00126EC3" w:rsidRDefault="00852557" w:rsidP="001E77EA">
      <w:pPr>
        <w:pStyle w:val="Ttulo2"/>
        <w:numPr>
          <w:ilvl w:val="1"/>
          <w:numId w:val="1"/>
        </w:numPr>
        <w:jc w:val="left"/>
        <w:rPr>
          <w:rFonts w:ascii="Times New Roman" w:hAnsi="Times New Roman"/>
          <w:sz w:val="22"/>
        </w:rPr>
      </w:pPr>
      <w:r w:rsidRPr="00126EC3">
        <w:rPr>
          <w:rFonts w:ascii="Times New Roman" w:hAnsi="Times New Roman"/>
          <w:sz w:val="22"/>
        </w:rPr>
        <w:lastRenderedPageBreak/>
        <w:t xml:space="preserve">Importaciones </w:t>
      </w:r>
    </w:p>
    <w:p w:rsidR="001E77EA" w:rsidRPr="001E77EA" w:rsidRDefault="001E77EA" w:rsidP="001E77EA">
      <w:pPr>
        <w:pStyle w:val="Prrafodelista"/>
        <w:ind w:left="705"/>
        <w:rPr>
          <w:lang w:val="es-ES_tradnl"/>
        </w:rPr>
      </w:pP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03BBF" w:rsidRDefault="00126EC3" w:rsidP="00803BBF">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noviembre</w:t>
      </w:r>
      <w:r w:rsidRPr="00F6643F">
        <w:rPr>
          <w:rFonts w:ascii="Times New Roman" w:hAnsi="Times New Roman"/>
          <w:sz w:val="22"/>
        </w:rPr>
        <w:t xml:space="preserve">, las importaciones por </w:t>
      </w:r>
      <w:r>
        <w:rPr>
          <w:rFonts w:ascii="Times New Roman" w:hAnsi="Times New Roman"/>
          <w:sz w:val="22"/>
        </w:rPr>
        <w:t xml:space="preserve">las aduanas de </w:t>
      </w:r>
      <w:r w:rsidRPr="00F6643F">
        <w:rPr>
          <w:rFonts w:ascii="Times New Roman" w:hAnsi="Times New Roman"/>
          <w:sz w:val="22"/>
        </w:rPr>
        <w:t>Piura fueron de US$</w:t>
      </w:r>
      <w:r>
        <w:rPr>
          <w:rFonts w:ascii="Times New Roman" w:hAnsi="Times New Roman"/>
          <w:sz w:val="22"/>
        </w:rPr>
        <w:t xml:space="preserve">90,5 </w:t>
      </w:r>
      <w:r w:rsidRPr="00F6643F">
        <w:rPr>
          <w:rFonts w:ascii="Times New Roman" w:hAnsi="Times New Roman"/>
          <w:sz w:val="22"/>
        </w:rPr>
        <w:t xml:space="preserve">millones, </w:t>
      </w:r>
      <w:r>
        <w:rPr>
          <w:rFonts w:ascii="Times New Roman" w:hAnsi="Times New Roman"/>
          <w:sz w:val="22"/>
        </w:rPr>
        <w:t>siendo inferiores en 9,2 por ciento a las</w:t>
      </w:r>
      <w:r w:rsidRPr="00F6643F">
        <w:rPr>
          <w:rFonts w:ascii="Times New Roman" w:hAnsi="Times New Roman"/>
          <w:sz w:val="22"/>
        </w:rPr>
        <w:t xml:space="preserve"> registradas en igual mes del año pasado; </w:t>
      </w:r>
      <w:r>
        <w:rPr>
          <w:rFonts w:ascii="Times New Roman" w:hAnsi="Times New Roman"/>
          <w:sz w:val="22"/>
        </w:rPr>
        <w:t>por las meno</w:t>
      </w:r>
      <w:r w:rsidRPr="00F6643F">
        <w:rPr>
          <w:rFonts w:ascii="Times New Roman" w:hAnsi="Times New Roman"/>
          <w:sz w:val="22"/>
        </w:rPr>
        <w:t>r</w:t>
      </w:r>
      <w:r>
        <w:rPr>
          <w:rFonts w:ascii="Times New Roman" w:hAnsi="Times New Roman"/>
          <w:sz w:val="22"/>
        </w:rPr>
        <w:t xml:space="preserve">es compras de materias primas </w:t>
      </w:r>
      <w:r>
        <w:rPr>
          <w:rFonts w:ascii="Times New Roman" w:hAnsi="Times New Roman"/>
          <w:sz w:val="22"/>
        </w:rPr>
        <w:lastRenderedPageBreak/>
        <w:t xml:space="preserve">y productos intermedios (-23,6 </w:t>
      </w:r>
      <w:r w:rsidRPr="00F6643F">
        <w:rPr>
          <w:rFonts w:ascii="Times New Roman" w:hAnsi="Times New Roman"/>
          <w:sz w:val="22"/>
        </w:rPr>
        <w:t>por ciento)</w:t>
      </w:r>
      <w:r>
        <w:rPr>
          <w:rFonts w:ascii="Times New Roman" w:hAnsi="Times New Roman"/>
          <w:sz w:val="22"/>
        </w:rPr>
        <w:t>,</w:t>
      </w:r>
      <w:r w:rsidRPr="00F6643F">
        <w:rPr>
          <w:rFonts w:ascii="Times New Roman" w:hAnsi="Times New Roman"/>
          <w:sz w:val="22"/>
        </w:rPr>
        <w:t xml:space="preserve"> </w:t>
      </w:r>
      <w:r>
        <w:rPr>
          <w:rFonts w:ascii="Times New Roman" w:hAnsi="Times New Roman"/>
          <w:sz w:val="22"/>
        </w:rPr>
        <w:t xml:space="preserve">que contrarrestaron el aumento en bienes de capital (146,0 por </w:t>
      </w:r>
      <w:r w:rsidRPr="00F6643F">
        <w:rPr>
          <w:rFonts w:ascii="Times New Roman" w:hAnsi="Times New Roman"/>
          <w:sz w:val="22"/>
        </w:rPr>
        <w:t>ciento)</w:t>
      </w:r>
      <w:r>
        <w:rPr>
          <w:rFonts w:ascii="Times New Roman" w:hAnsi="Times New Roman"/>
          <w:sz w:val="22"/>
        </w:rPr>
        <w:t xml:space="preserve"> y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55,8 </w:t>
      </w:r>
      <w:r w:rsidRPr="00F6643F">
        <w:rPr>
          <w:rFonts w:ascii="Times New Roman" w:hAnsi="Times New Roman"/>
          <w:sz w:val="22"/>
        </w:rPr>
        <w:t>por ciento).</w:t>
      </w:r>
    </w:p>
    <w:p w:rsidR="001E77EA" w:rsidRDefault="001E77EA" w:rsidP="007D136B">
      <w:pPr>
        <w:pStyle w:val="Textoindependiente"/>
        <w:ind w:firstLine="709"/>
        <w:rPr>
          <w:sz w:val="22"/>
        </w:rPr>
        <w:sectPr w:rsidR="001E77EA" w:rsidSect="001E77EA">
          <w:type w:val="continuous"/>
          <w:pgSz w:w="11907" w:h="16840" w:code="9"/>
          <w:pgMar w:top="1701" w:right="1418" w:bottom="1418" w:left="1701" w:header="1134" w:footer="1134" w:gutter="0"/>
          <w:paperSrc w:first="15"/>
          <w:cols w:num="2" w:space="708"/>
          <w:titlePg/>
        </w:sectPr>
      </w:pPr>
    </w:p>
    <w:p w:rsidR="00D972D0" w:rsidRDefault="00D972D0" w:rsidP="007D136B">
      <w:pPr>
        <w:pStyle w:val="Textoindependiente"/>
        <w:ind w:firstLine="709"/>
        <w:rPr>
          <w:sz w:val="22"/>
        </w:rPr>
      </w:pPr>
    </w:p>
    <w:p w:rsidR="002C4CFF" w:rsidRDefault="002C4CFF" w:rsidP="007D136B">
      <w:pPr>
        <w:pStyle w:val="Textoindependiente"/>
        <w:ind w:firstLine="709"/>
        <w:rPr>
          <w:sz w:val="22"/>
        </w:rPr>
      </w:pPr>
    </w:p>
    <w:p w:rsidR="002C4CFF" w:rsidRDefault="002C4CFF" w:rsidP="007D136B">
      <w:pPr>
        <w:pStyle w:val="Textoindependiente"/>
        <w:ind w:firstLine="709"/>
        <w:rPr>
          <w:sz w:val="22"/>
        </w:rPr>
        <w:sectPr w:rsidR="002C4CFF">
          <w:type w:val="continuous"/>
          <w:pgSz w:w="11907" w:h="16840" w:code="9"/>
          <w:pgMar w:top="1701" w:right="1418" w:bottom="1418" w:left="1701" w:header="1134" w:footer="1134" w:gutter="0"/>
          <w:paperSrc w:first="15"/>
          <w:cols w:num="2" w:space="708"/>
          <w:titlePg/>
        </w:sectPr>
      </w:pPr>
    </w:p>
    <w:p w:rsidR="00A05534" w:rsidRDefault="00126EC3" w:rsidP="00D972D0">
      <w:pPr>
        <w:pStyle w:val="Textoindependiente"/>
        <w:jc w:val="center"/>
        <w:rPr>
          <w:sz w:val="22"/>
        </w:rPr>
      </w:pPr>
      <w:r w:rsidRPr="001C0633">
        <w:rPr>
          <w:sz w:val="22"/>
        </w:rPr>
        <w:object w:dxaOrig="10498" w:dyaOrig="6951">
          <v:shape id="_x0000_i1055" type="#_x0000_t75" style="width:436.5pt;height:323.25pt" o:ole="">
            <v:imagedata r:id="rId107" o:title=""/>
          </v:shape>
          <o:OLEObject Type="Embed" ProgID="Excel.Sheet.12" ShapeID="_x0000_i1055" DrawAspect="Content" ObjectID="_1420468539" r:id="rId108"/>
        </w:object>
      </w:r>
    </w:p>
    <w:p w:rsidR="002C4CFF" w:rsidRDefault="002C4CFF" w:rsidP="007D136B">
      <w:pPr>
        <w:pStyle w:val="Textoindependiente"/>
        <w:ind w:left="-794" w:firstLine="709"/>
        <w:jc w:val="center"/>
        <w:rPr>
          <w:sz w:val="22"/>
        </w:rPr>
        <w:sectPr w:rsidR="002C4CFF" w:rsidSect="007D136B">
          <w:type w:val="continuous"/>
          <w:pgSz w:w="11907" w:h="16840" w:code="9"/>
          <w:pgMar w:top="1701" w:right="1418" w:bottom="1418" w:left="1701" w:header="1134" w:footer="1134" w:gutter="0"/>
          <w:paperSrc w:first="15"/>
          <w:cols w:space="720"/>
          <w:titlePg/>
        </w:sectPr>
      </w:pPr>
    </w:p>
    <w:p w:rsidR="00803BBF" w:rsidRDefault="00803BBF" w:rsidP="00803BBF">
      <w:pPr>
        <w:pStyle w:val="Sangradetextonormal"/>
        <w:rPr>
          <w:sz w:val="22"/>
        </w:rPr>
      </w:pPr>
    </w:p>
    <w:p w:rsidR="00803BBF" w:rsidRDefault="00803BBF" w:rsidP="00803BBF">
      <w:pPr>
        <w:pStyle w:val="Sangradetextonormal"/>
        <w:rPr>
          <w:sz w:val="22"/>
        </w:rPr>
      </w:pPr>
    </w:p>
    <w:p w:rsidR="00803BBF" w:rsidRDefault="00803BBF" w:rsidP="00803BBF">
      <w:pPr>
        <w:pStyle w:val="Sangradetextonormal"/>
        <w:rPr>
          <w:sz w:val="22"/>
        </w:rPr>
        <w:sectPr w:rsidR="00803BBF">
          <w:type w:val="continuous"/>
          <w:pgSz w:w="11907" w:h="16840" w:code="9"/>
          <w:pgMar w:top="1701" w:right="1418" w:bottom="1418" w:left="1701" w:header="1134" w:footer="1134" w:gutter="0"/>
          <w:paperSrc w:first="15"/>
          <w:cols w:num="2" w:space="720" w:equalWidth="0">
            <w:col w:w="4040" w:space="708"/>
            <w:col w:w="4040"/>
          </w:cols>
          <w:titlePg/>
        </w:sectPr>
      </w:pPr>
    </w:p>
    <w:p w:rsidR="00803BBF" w:rsidRDefault="00126EC3" w:rsidP="00803BBF">
      <w:pPr>
        <w:pStyle w:val="Sangradetextonormal"/>
        <w:ind w:firstLine="0"/>
        <w:rPr>
          <w:sz w:val="22"/>
        </w:rPr>
      </w:pPr>
      <w:r>
        <w:rPr>
          <w:sz w:val="22"/>
        </w:rPr>
        <w:lastRenderedPageBreak/>
        <w:t>En lo que va del año, las importaciones apenas crecieron en 0,1 por ciento respecto de análogo período del año previo. La participación relativa de las materias primas</w:t>
      </w:r>
      <w:r>
        <w:rPr>
          <w:sz w:val="22"/>
        </w:rPr>
        <w:br w:type="column"/>
      </w:r>
      <w:r>
        <w:rPr>
          <w:sz w:val="22"/>
        </w:rPr>
        <w:lastRenderedPageBreak/>
        <w:t>fue de 74,8 por ciento frente a 18,8 por ciento de los bienes de capital y 6,3 por ciento de los bienes de consumo.</w:t>
      </w:r>
    </w:p>
    <w:p w:rsidR="001E77EA" w:rsidRDefault="001E77EA" w:rsidP="004A74AB">
      <w:pPr>
        <w:pStyle w:val="Sangradetextonormal"/>
        <w:ind w:firstLine="0"/>
        <w:rPr>
          <w:sz w:val="22"/>
        </w:rPr>
        <w:sectPr w:rsidR="001E77EA" w:rsidSect="001E77EA">
          <w:type w:val="continuous"/>
          <w:pgSz w:w="11907" w:h="16840" w:code="9"/>
          <w:pgMar w:top="1701" w:right="1418" w:bottom="1418" w:left="1701" w:header="1134" w:footer="1134" w:gutter="0"/>
          <w:paperSrc w:first="15"/>
          <w:cols w:num="2" w:space="720"/>
          <w:titlePg/>
        </w:sectPr>
      </w:pPr>
    </w:p>
    <w:p w:rsidR="001E77EA" w:rsidRDefault="001E77EA" w:rsidP="004A74AB">
      <w:pPr>
        <w:pStyle w:val="Sangradetextonormal"/>
        <w:ind w:firstLine="0"/>
        <w:rPr>
          <w:sz w:val="22"/>
        </w:rPr>
      </w:pPr>
    </w:p>
    <w:p w:rsidR="002C4CFF" w:rsidRDefault="002C4CFF" w:rsidP="004A74AB">
      <w:pPr>
        <w:pStyle w:val="Sangradetextonormal"/>
        <w:ind w:firstLine="0"/>
        <w:rPr>
          <w:sz w:val="22"/>
        </w:rPr>
      </w:pPr>
    </w:p>
    <w:p w:rsidR="002C4CFF" w:rsidRDefault="002C4CFF" w:rsidP="004A74AB">
      <w:pPr>
        <w:pStyle w:val="Sangradetextonormal"/>
        <w:ind w:firstLine="0"/>
        <w:rPr>
          <w:sz w:val="22"/>
        </w:rPr>
        <w:sectPr w:rsidR="002C4CFF" w:rsidSect="007D136B">
          <w:type w:val="continuous"/>
          <w:pgSz w:w="11907" w:h="16840" w:code="9"/>
          <w:pgMar w:top="1701" w:right="1418" w:bottom="1418" w:left="1701" w:header="1134" w:footer="1134" w:gutter="0"/>
          <w:paperSrc w:first="15"/>
          <w:cols w:num="2" w:space="720"/>
          <w:titlePg/>
        </w:sectPr>
      </w:pPr>
    </w:p>
    <w:p w:rsidR="00D972D0" w:rsidRDefault="00CE7ABC" w:rsidP="004A74AB">
      <w:pPr>
        <w:pStyle w:val="Sangradetextonormal"/>
        <w:ind w:firstLine="0"/>
        <w:jc w:val="center"/>
        <w:rPr>
          <w:sz w:val="22"/>
        </w:rPr>
      </w:pPr>
      <w:r w:rsidRPr="00CE7ABC">
        <w:rPr>
          <w:b/>
          <w:noProof/>
        </w:rPr>
        <w:lastRenderedPageBreak/>
        <w:pict>
          <v:shape id="_x0000_s409806" type="#_x0000_t75" style="position:absolute;left:0;text-align:left;margin-left:40.8pt;margin-top:.3pt;width:357.45pt;height:196.05pt;z-index:251803136">
            <v:imagedata r:id="rId109" o:title=""/>
            <w10:wrap type="square"/>
          </v:shape>
          <o:OLEObject Type="Embed" ProgID="Excel.Sheet.12" ShapeID="_x0000_s409806" DrawAspect="Content" ObjectID="_1420468557" r:id="rId110"/>
        </w:pict>
      </w: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sectPr w:rsidR="00126EC3">
          <w:type w:val="continuous"/>
          <w:pgSz w:w="11907" w:h="16840" w:code="9"/>
          <w:pgMar w:top="1701" w:right="1418" w:bottom="1418" w:left="1701" w:header="1134" w:footer="1134" w:gutter="0"/>
          <w:paperSrc w:first="15"/>
          <w:cols w:space="720"/>
          <w:titlePg/>
        </w:sectPr>
      </w:pP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126EC3" w:rsidRPr="00970D17" w:rsidRDefault="00126EC3" w:rsidP="00126EC3">
      <w:pPr>
        <w:pStyle w:val="Sangradetextonormal"/>
        <w:ind w:firstLine="0"/>
        <w:rPr>
          <w:sz w:val="22"/>
        </w:rPr>
      </w:pPr>
      <w:r w:rsidRPr="00970D17">
        <w:rPr>
          <w:sz w:val="22"/>
        </w:rPr>
        <w:lastRenderedPageBreak/>
        <w:t xml:space="preserve">En </w:t>
      </w:r>
      <w:r>
        <w:rPr>
          <w:sz w:val="22"/>
        </w:rPr>
        <w:t>el período enero-noviembre</w:t>
      </w:r>
      <w:r w:rsidRPr="00970D17">
        <w:rPr>
          <w:sz w:val="22"/>
        </w:rPr>
        <w:t>, los principales países de origen de las importaciones por las aduanas de Paita y Talara fueron</w:t>
      </w:r>
      <w:r>
        <w:rPr>
          <w:sz w:val="22"/>
        </w:rPr>
        <w:t xml:space="preserve"> los siguientes</w:t>
      </w:r>
      <w:r w:rsidRPr="00970D17">
        <w:rPr>
          <w:sz w:val="22"/>
        </w:rPr>
        <w:t>:</w:t>
      </w:r>
    </w:p>
    <w:p w:rsidR="00126EC3" w:rsidRPr="00970D17" w:rsidRDefault="00126EC3" w:rsidP="00126EC3">
      <w:pPr>
        <w:pStyle w:val="Sangradetextonormal"/>
        <w:ind w:firstLine="0"/>
        <w:rPr>
          <w:bCs/>
          <w:snapToGrid w:val="0"/>
          <w:sz w:val="22"/>
        </w:rPr>
      </w:pPr>
    </w:p>
    <w:p w:rsidR="00126EC3" w:rsidRPr="00DF0FA0" w:rsidRDefault="00126EC3" w:rsidP="00126EC3">
      <w:pPr>
        <w:pStyle w:val="Sangradetextonormal"/>
        <w:ind w:firstLine="0"/>
        <w:rPr>
          <w:bCs/>
          <w:snapToGrid w:val="0"/>
          <w:sz w:val="22"/>
        </w:rPr>
      </w:pPr>
      <w:r w:rsidRPr="00DF0FA0">
        <w:rPr>
          <w:bCs/>
          <w:snapToGrid w:val="0"/>
          <w:sz w:val="22"/>
        </w:rPr>
        <w:t>China, con US$34</w:t>
      </w:r>
      <w:r>
        <w:rPr>
          <w:bCs/>
          <w:snapToGrid w:val="0"/>
          <w:sz w:val="22"/>
        </w:rPr>
        <w:t>7</w:t>
      </w:r>
      <w:r w:rsidRPr="00DF0FA0">
        <w:rPr>
          <w:bCs/>
          <w:snapToGrid w:val="0"/>
          <w:sz w:val="22"/>
        </w:rPr>
        <w:t>,</w:t>
      </w:r>
      <w:r>
        <w:rPr>
          <w:bCs/>
          <w:snapToGrid w:val="0"/>
          <w:sz w:val="22"/>
        </w:rPr>
        <w:t>6</w:t>
      </w:r>
      <w:r w:rsidRPr="00DF0FA0">
        <w:rPr>
          <w:bCs/>
          <w:snapToGrid w:val="0"/>
          <w:sz w:val="22"/>
        </w:rPr>
        <w:t xml:space="preserve"> millones </w:t>
      </w:r>
      <w:r>
        <w:rPr>
          <w:bCs/>
          <w:snapToGrid w:val="0"/>
          <w:sz w:val="22"/>
        </w:rPr>
        <w:t>de</w:t>
      </w:r>
      <w:r w:rsidRPr="00DF0FA0">
        <w:rPr>
          <w:bCs/>
          <w:snapToGrid w:val="0"/>
          <w:sz w:val="22"/>
        </w:rPr>
        <w:t xml:space="preserve"> petróleo y derivados (US$2</w:t>
      </w:r>
      <w:r>
        <w:rPr>
          <w:bCs/>
          <w:snapToGrid w:val="0"/>
          <w:sz w:val="22"/>
        </w:rPr>
        <w:t>83,0</w:t>
      </w:r>
      <w:r w:rsidRPr="00DF0FA0">
        <w:rPr>
          <w:bCs/>
          <w:snapToGrid w:val="0"/>
          <w:sz w:val="22"/>
        </w:rPr>
        <w:t xml:space="preserve"> millones), </w:t>
      </w:r>
      <w:r>
        <w:rPr>
          <w:bCs/>
          <w:snapToGrid w:val="0"/>
          <w:sz w:val="22"/>
        </w:rPr>
        <w:t xml:space="preserve">torres y castilletes de fundición de acero (US$26,8 millones), </w:t>
      </w:r>
      <w:r w:rsidRPr="00DF0FA0">
        <w:rPr>
          <w:bCs/>
          <w:snapToGrid w:val="0"/>
          <w:sz w:val="22"/>
        </w:rPr>
        <w:t>tubos para perforación de petróleo o gas (US$</w:t>
      </w:r>
      <w:r>
        <w:rPr>
          <w:bCs/>
          <w:snapToGrid w:val="0"/>
          <w:sz w:val="22"/>
        </w:rPr>
        <w:t>7,2</w:t>
      </w:r>
      <w:r w:rsidRPr="00DF0FA0">
        <w:rPr>
          <w:bCs/>
          <w:snapToGrid w:val="0"/>
          <w:sz w:val="22"/>
        </w:rPr>
        <w:t xml:space="preserve"> millones), cosechadoras y trilladoras (US$2,</w:t>
      </w:r>
      <w:r>
        <w:rPr>
          <w:bCs/>
          <w:snapToGrid w:val="0"/>
          <w:sz w:val="22"/>
        </w:rPr>
        <w:t>9</w:t>
      </w:r>
      <w:r w:rsidRPr="00DF0FA0">
        <w:rPr>
          <w:bCs/>
          <w:snapToGrid w:val="0"/>
          <w:sz w:val="22"/>
        </w:rPr>
        <w:t xml:space="preserve"> millones), </w:t>
      </w:r>
      <w:r>
        <w:rPr>
          <w:bCs/>
          <w:snapToGrid w:val="0"/>
          <w:sz w:val="22"/>
        </w:rPr>
        <w:t>aparatos de transmisión de voz y comunicaciones (US$5,3 millones), e</w:t>
      </w:r>
      <w:r w:rsidRPr="00DF0FA0">
        <w:rPr>
          <w:bCs/>
          <w:snapToGrid w:val="0"/>
          <w:sz w:val="22"/>
        </w:rPr>
        <w:t xml:space="preserve">ntre otros. </w:t>
      </w:r>
    </w:p>
    <w:p w:rsidR="00126EC3" w:rsidRDefault="00126EC3" w:rsidP="00126EC3">
      <w:pPr>
        <w:pStyle w:val="Sangradetextonormal"/>
        <w:ind w:firstLine="0"/>
        <w:rPr>
          <w:bCs/>
          <w:snapToGrid w:val="0"/>
          <w:sz w:val="22"/>
        </w:rPr>
      </w:pPr>
    </w:p>
    <w:p w:rsidR="00126EC3" w:rsidRPr="00872E75" w:rsidRDefault="00126EC3" w:rsidP="00126EC3">
      <w:pPr>
        <w:pStyle w:val="Sangradetextonormal"/>
        <w:ind w:firstLine="0"/>
        <w:rPr>
          <w:bCs/>
          <w:snapToGrid w:val="0"/>
          <w:sz w:val="22"/>
        </w:rPr>
      </w:pPr>
      <w:r w:rsidRPr="00970D17">
        <w:rPr>
          <w:bCs/>
          <w:snapToGrid w:val="0"/>
          <w:sz w:val="22"/>
        </w:rPr>
        <w:t>Estados Unidos, con US$</w:t>
      </w:r>
      <w:r>
        <w:rPr>
          <w:bCs/>
          <w:snapToGrid w:val="0"/>
          <w:sz w:val="22"/>
        </w:rPr>
        <w:t>234,4</w:t>
      </w:r>
      <w:r w:rsidRPr="00970D17">
        <w:rPr>
          <w:bCs/>
          <w:snapToGrid w:val="0"/>
          <w:sz w:val="22"/>
        </w:rPr>
        <w:t xml:space="preserve"> millones </w:t>
      </w:r>
      <w:r>
        <w:rPr>
          <w:bCs/>
          <w:snapToGrid w:val="0"/>
          <w:sz w:val="22"/>
        </w:rPr>
        <w:t xml:space="preserve">de: aceites crudos de petróleo (US$60,9 millones), turbinas de gas (US$24,0 millones), generadores eléctricos (US$8,2 millones), </w:t>
      </w:r>
      <w:r w:rsidRPr="00970D17">
        <w:rPr>
          <w:bCs/>
          <w:snapToGrid w:val="0"/>
          <w:sz w:val="22"/>
        </w:rPr>
        <w:t>úrea y otros abonos (US$</w:t>
      </w:r>
      <w:r>
        <w:rPr>
          <w:bCs/>
          <w:snapToGrid w:val="0"/>
          <w:sz w:val="22"/>
        </w:rPr>
        <w:t xml:space="preserve">17,5 </w:t>
      </w:r>
      <w:r w:rsidRPr="00970D17">
        <w:rPr>
          <w:bCs/>
          <w:snapToGrid w:val="0"/>
          <w:sz w:val="22"/>
        </w:rPr>
        <w:t>millones)</w:t>
      </w:r>
      <w:r>
        <w:rPr>
          <w:bCs/>
          <w:snapToGrid w:val="0"/>
          <w:sz w:val="22"/>
        </w:rPr>
        <w:t>,</w:t>
      </w:r>
      <w:r w:rsidRPr="00117F0E">
        <w:rPr>
          <w:bCs/>
          <w:snapToGrid w:val="0"/>
          <w:sz w:val="22"/>
        </w:rPr>
        <w:t xml:space="preserve"> </w:t>
      </w:r>
      <w:r>
        <w:rPr>
          <w:bCs/>
          <w:snapToGrid w:val="0"/>
          <w:sz w:val="22"/>
        </w:rPr>
        <w:t xml:space="preserve">plásticos y sus manufacturas (US$7,2 millones), </w:t>
      </w:r>
      <w:r w:rsidRPr="00970D17">
        <w:rPr>
          <w:bCs/>
          <w:snapToGrid w:val="0"/>
          <w:sz w:val="22"/>
        </w:rPr>
        <w:t>aceite de soja (US$</w:t>
      </w:r>
      <w:r>
        <w:rPr>
          <w:bCs/>
          <w:snapToGrid w:val="0"/>
          <w:sz w:val="22"/>
        </w:rPr>
        <w:t xml:space="preserve">7,5 </w:t>
      </w:r>
      <w:r w:rsidRPr="00970D17">
        <w:rPr>
          <w:bCs/>
          <w:snapToGrid w:val="0"/>
          <w:sz w:val="22"/>
        </w:rPr>
        <w:t>millones),</w:t>
      </w:r>
      <w:r>
        <w:rPr>
          <w:bCs/>
          <w:snapToGrid w:val="0"/>
          <w:sz w:val="22"/>
        </w:rPr>
        <w:t xml:space="preserve"> </w:t>
      </w:r>
      <w:r w:rsidRPr="00970D17">
        <w:rPr>
          <w:bCs/>
          <w:snapToGrid w:val="0"/>
          <w:sz w:val="22"/>
        </w:rPr>
        <w:t xml:space="preserve">alcohol </w:t>
      </w:r>
      <w:r w:rsidRPr="00872E75">
        <w:rPr>
          <w:bCs/>
          <w:snapToGrid w:val="0"/>
          <w:sz w:val="22"/>
        </w:rPr>
        <w:t>etílico (US$2,1 millones), algodón (US$</w:t>
      </w:r>
      <w:r>
        <w:rPr>
          <w:bCs/>
          <w:snapToGrid w:val="0"/>
          <w:sz w:val="22"/>
        </w:rPr>
        <w:t>6</w:t>
      </w:r>
      <w:r w:rsidRPr="00872E75">
        <w:rPr>
          <w:bCs/>
          <w:snapToGrid w:val="0"/>
          <w:sz w:val="22"/>
        </w:rPr>
        <w:t>,</w:t>
      </w:r>
      <w:r>
        <w:rPr>
          <w:bCs/>
          <w:snapToGrid w:val="0"/>
          <w:sz w:val="22"/>
        </w:rPr>
        <w:t>6</w:t>
      </w:r>
      <w:r w:rsidRPr="00872E75">
        <w:rPr>
          <w:bCs/>
          <w:snapToGrid w:val="0"/>
          <w:sz w:val="22"/>
        </w:rPr>
        <w:t xml:space="preserve"> millones), trigo (US$</w:t>
      </w:r>
      <w:r>
        <w:rPr>
          <w:bCs/>
          <w:snapToGrid w:val="0"/>
          <w:sz w:val="22"/>
        </w:rPr>
        <w:t>3</w:t>
      </w:r>
      <w:r w:rsidRPr="00872E75">
        <w:rPr>
          <w:bCs/>
          <w:snapToGrid w:val="0"/>
          <w:sz w:val="22"/>
        </w:rPr>
        <w:t>,</w:t>
      </w:r>
      <w:r>
        <w:rPr>
          <w:bCs/>
          <w:snapToGrid w:val="0"/>
          <w:sz w:val="22"/>
        </w:rPr>
        <w:t>9</w:t>
      </w:r>
      <w:r w:rsidRPr="00872E75">
        <w:rPr>
          <w:bCs/>
          <w:snapToGrid w:val="0"/>
          <w:sz w:val="22"/>
        </w:rPr>
        <w:t xml:space="preserve"> millones)</w:t>
      </w:r>
      <w:r>
        <w:rPr>
          <w:bCs/>
          <w:snapToGrid w:val="0"/>
          <w:sz w:val="22"/>
        </w:rPr>
        <w:t xml:space="preserve">, pescado congelado (US$9,5 </w:t>
      </w:r>
      <w:r>
        <w:rPr>
          <w:bCs/>
          <w:snapToGrid w:val="0"/>
          <w:sz w:val="22"/>
        </w:rPr>
        <w:lastRenderedPageBreak/>
        <w:t>millones), frijoles (US$1,8 millones), madera en bruto (US$2,8 millones), vehículos (US$3,6 millones), entre otros.</w:t>
      </w:r>
    </w:p>
    <w:p w:rsidR="00126EC3" w:rsidRPr="00970D17" w:rsidRDefault="00126EC3" w:rsidP="00126EC3">
      <w:pPr>
        <w:pStyle w:val="Sangradetextonormal"/>
        <w:ind w:firstLine="0"/>
        <w:rPr>
          <w:bCs/>
          <w:snapToGrid w:val="0"/>
          <w:sz w:val="22"/>
        </w:rPr>
      </w:pPr>
    </w:p>
    <w:p w:rsidR="00126EC3" w:rsidRPr="00970D17" w:rsidRDefault="00126EC3" w:rsidP="00126EC3">
      <w:pPr>
        <w:pStyle w:val="Sangradetextonormal"/>
        <w:ind w:firstLine="0"/>
        <w:rPr>
          <w:bCs/>
          <w:snapToGrid w:val="0"/>
          <w:sz w:val="22"/>
        </w:rPr>
      </w:pPr>
      <w:r>
        <w:rPr>
          <w:bCs/>
          <w:snapToGrid w:val="0"/>
          <w:sz w:val="22"/>
        </w:rPr>
        <w:t>Ecuador</w:t>
      </w:r>
      <w:r w:rsidRPr="00970D17">
        <w:rPr>
          <w:bCs/>
          <w:snapToGrid w:val="0"/>
          <w:sz w:val="22"/>
        </w:rPr>
        <w:t xml:space="preserve"> con US$</w:t>
      </w:r>
      <w:r>
        <w:rPr>
          <w:bCs/>
          <w:snapToGrid w:val="0"/>
          <w:sz w:val="22"/>
        </w:rPr>
        <w:t xml:space="preserve">154,1 </w:t>
      </w:r>
      <w:r w:rsidRPr="00970D17">
        <w:rPr>
          <w:bCs/>
          <w:snapToGrid w:val="0"/>
          <w:sz w:val="22"/>
        </w:rPr>
        <w:t xml:space="preserve">millones </w:t>
      </w:r>
      <w:r>
        <w:rPr>
          <w:bCs/>
          <w:snapToGrid w:val="0"/>
          <w:sz w:val="22"/>
        </w:rPr>
        <w:t>de petróleo</w:t>
      </w:r>
      <w:r w:rsidRPr="00970D17">
        <w:rPr>
          <w:bCs/>
          <w:snapToGrid w:val="0"/>
          <w:sz w:val="22"/>
        </w:rPr>
        <w:t xml:space="preserve"> (US$</w:t>
      </w:r>
      <w:r>
        <w:rPr>
          <w:bCs/>
          <w:snapToGrid w:val="0"/>
          <w:sz w:val="22"/>
        </w:rPr>
        <w:t xml:space="preserve">145,4 </w:t>
      </w:r>
      <w:r w:rsidRPr="00970D17">
        <w:rPr>
          <w:bCs/>
          <w:snapToGrid w:val="0"/>
          <w:sz w:val="22"/>
        </w:rPr>
        <w:t>millones)</w:t>
      </w:r>
      <w:r>
        <w:rPr>
          <w:bCs/>
          <w:snapToGrid w:val="0"/>
          <w:sz w:val="22"/>
        </w:rPr>
        <w:t>, biodiesel (US$5,3 millones), extractos y esencias de café (US$2,9 millones).</w:t>
      </w:r>
    </w:p>
    <w:p w:rsidR="00126EC3" w:rsidRDefault="00126EC3" w:rsidP="00126EC3">
      <w:pPr>
        <w:pStyle w:val="Sangradetextonormal"/>
        <w:ind w:firstLine="0"/>
        <w:rPr>
          <w:bCs/>
          <w:snapToGrid w:val="0"/>
          <w:sz w:val="22"/>
        </w:rPr>
      </w:pPr>
    </w:p>
    <w:p w:rsidR="00126EC3" w:rsidRPr="00630DC2" w:rsidRDefault="00126EC3" w:rsidP="00126EC3">
      <w:pPr>
        <w:pStyle w:val="Sangradetextonormal"/>
        <w:ind w:firstLine="0"/>
        <w:rPr>
          <w:bCs/>
          <w:snapToGrid w:val="0"/>
          <w:sz w:val="22"/>
        </w:rPr>
      </w:pPr>
      <w:r w:rsidRPr="00630DC2">
        <w:rPr>
          <w:bCs/>
          <w:snapToGrid w:val="0"/>
          <w:sz w:val="22"/>
        </w:rPr>
        <w:t>Suiza, con US$1</w:t>
      </w:r>
      <w:r>
        <w:rPr>
          <w:bCs/>
          <w:snapToGrid w:val="0"/>
          <w:sz w:val="22"/>
        </w:rPr>
        <w:t>25</w:t>
      </w:r>
      <w:r w:rsidRPr="00630DC2">
        <w:rPr>
          <w:bCs/>
          <w:snapToGrid w:val="0"/>
          <w:sz w:val="22"/>
        </w:rPr>
        <w:t>,</w:t>
      </w:r>
      <w:r>
        <w:rPr>
          <w:bCs/>
          <w:snapToGrid w:val="0"/>
          <w:sz w:val="22"/>
        </w:rPr>
        <w:t>6</w:t>
      </w:r>
      <w:r w:rsidRPr="00630DC2">
        <w:rPr>
          <w:bCs/>
          <w:snapToGrid w:val="0"/>
          <w:sz w:val="22"/>
        </w:rPr>
        <w:t xml:space="preserve"> millones </w:t>
      </w:r>
      <w:r>
        <w:rPr>
          <w:bCs/>
          <w:snapToGrid w:val="0"/>
          <w:sz w:val="22"/>
        </w:rPr>
        <w:t>de</w:t>
      </w:r>
      <w:r w:rsidRPr="00630DC2">
        <w:rPr>
          <w:bCs/>
          <w:snapToGrid w:val="0"/>
          <w:sz w:val="22"/>
        </w:rPr>
        <w:t xml:space="preserve"> petróleo y derivados (US$43,9 millones), biodiesel y sus mezclas (US$</w:t>
      </w:r>
      <w:r>
        <w:rPr>
          <w:bCs/>
          <w:snapToGrid w:val="0"/>
          <w:sz w:val="22"/>
        </w:rPr>
        <w:t>50,5</w:t>
      </w:r>
      <w:r w:rsidRPr="00630DC2">
        <w:rPr>
          <w:bCs/>
          <w:snapToGrid w:val="0"/>
          <w:sz w:val="22"/>
        </w:rPr>
        <w:t xml:space="preserve"> millones), úrea y otros abonos (US$</w:t>
      </w:r>
      <w:r>
        <w:rPr>
          <w:bCs/>
          <w:snapToGrid w:val="0"/>
          <w:sz w:val="22"/>
        </w:rPr>
        <w:t>20</w:t>
      </w:r>
      <w:r w:rsidRPr="00630DC2">
        <w:rPr>
          <w:bCs/>
          <w:snapToGrid w:val="0"/>
          <w:sz w:val="22"/>
        </w:rPr>
        <w:t>,</w:t>
      </w:r>
      <w:r>
        <w:rPr>
          <w:bCs/>
          <w:snapToGrid w:val="0"/>
          <w:sz w:val="22"/>
        </w:rPr>
        <w:t>4</w:t>
      </w:r>
      <w:r w:rsidRPr="00630DC2">
        <w:rPr>
          <w:bCs/>
          <w:snapToGrid w:val="0"/>
          <w:sz w:val="22"/>
        </w:rPr>
        <w:t xml:space="preserve"> millones), alcohol etílico (US$</w:t>
      </w:r>
      <w:r>
        <w:rPr>
          <w:bCs/>
          <w:snapToGrid w:val="0"/>
          <w:sz w:val="22"/>
        </w:rPr>
        <w:t xml:space="preserve">10,8 </w:t>
      </w:r>
      <w:r w:rsidRPr="00630DC2">
        <w:rPr>
          <w:bCs/>
          <w:snapToGrid w:val="0"/>
          <w:sz w:val="22"/>
        </w:rPr>
        <w:t>millones)</w:t>
      </w:r>
      <w:r>
        <w:rPr>
          <w:bCs/>
          <w:snapToGrid w:val="0"/>
          <w:sz w:val="22"/>
        </w:rPr>
        <w:t>, entre otros</w:t>
      </w:r>
      <w:r w:rsidRPr="00630DC2">
        <w:rPr>
          <w:bCs/>
          <w:snapToGrid w:val="0"/>
          <w:sz w:val="22"/>
        </w:rPr>
        <w:t>.</w:t>
      </w:r>
    </w:p>
    <w:p w:rsidR="00126EC3" w:rsidRPr="00970D17" w:rsidRDefault="00126EC3" w:rsidP="00126EC3">
      <w:pPr>
        <w:pStyle w:val="Sangradetextonormal"/>
        <w:ind w:firstLine="0"/>
        <w:rPr>
          <w:bCs/>
          <w:snapToGrid w:val="0"/>
          <w:sz w:val="22"/>
        </w:rPr>
      </w:pPr>
    </w:p>
    <w:p w:rsidR="00126EC3" w:rsidRPr="00DF0FA0" w:rsidRDefault="00126EC3" w:rsidP="00126EC3">
      <w:pPr>
        <w:pStyle w:val="Sangradetextonormal"/>
        <w:ind w:firstLine="0"/>
        <w:rPr>
          <w:bCs/>
          <w:snapToGrid w:val="0"/>
          <w:sz w:val="22"/>
        </w:rPr>
      </w:pPr>
      <w:r w:rsidRPr="00DF0FA0">
        <w:rPr>
          <w:bCs/>
          <w:snapToGrid w:val="0"/>
          <w:sz w:val="22"/>
        </w:rPr>
        <w:t>Chile, con US$</w:t>
      </w:r>
      <w:r>
        <w:rPr>
          <w:bCs/>
          <w:snapToGrid w:val="0"/>
          <w:sz w:val="22"/>
        </w:rPr>
        <w:t>26,9</w:t>
      </w:r>
      <w:r w:rsidRPr="00DF0FA0">
        <w:rPr>
          <w:bCs/>
          <w:snapToGrid w:val="0"/>
          <w:sz w:val="22"/>
        </w:rPr>
        <w:t xml:space="preserve"> millones </w:t>
      </w:r>
      <w:r>
        <w:rPr>
          <w:bCs/>
          <w:snapToGrid w:val="0"/>
          <w:sz w:val="22"/>
        </w:rPr>
        <w:t>de</w:t>
      </w:r>
      <w:r w:rsidRPr="00DF0FA0">
        <w:rPr>
          <w:bCs/>
          <w:snapToGrid w:val="0"/>
          <w:sz w:val="22"/>
        </w:rPr>
        <w:t xml:space="preserve"> aceites de pescado (US$</w:t>
      </w:r>
      <w:r>
        <w:rPr>
          <w:bCs/>
          <w:snapToGrid w:val="0"/>
          <w:sz w:val="22"/>
        </w:rPr>
        <w:t>2</w:t>
      </w:r>
      <w:r w:rsidRPr="00DF0FA0">
        <w:rPr>
          <w:bCs/>
          <w:snapToGrid w:val="0"/>
          <w:sz w:val="22"/>
        </w:rPr>
        <w:t>,</w:t>
      </w:r>
      <w:r>
        <w:rPr>
          <w:bCs/>
          <w:snapToGrid w:val="0"/>
          <w:sz w:val="22"/>
        </w:rPr>
        <w:t>2</w:t>
      </w:r>
      <w:r w:rsidRPr="00DF0FA0">
        <w:rPr>
          <w:bCs/>
          <w:snapToGrid w:val="0"/>
          <w:sz w:val="22"/>
        </w:rPr>
        <w:t xml:space="preserve"> millones), abonos (US$</w:t>
      </w:r>
      <w:r>
        <w:rPr>
          <w:bCs/>
          <w:snapToGrid w:val="0"/>
          <w:sz w:val="22"/>
        </w:rPr>
        <w:t>5</w:t>
      </w:r>
      <w:r w:rsidRPr="00DF0FA0">
        <w:rPr>
          <w:bCs/>
          <w:snapToGrid w:val="0"/>
          <w:sz w:val="22"/>
        </w:rPr>
        <w:t>,</w:t>
      </w:r>
      <w:r>
        <w:rPr>
          <w:bCs/>
          <w:snapToGrid w:val="0"/>
          <w:sz w:val="22"/>
        </w:rPr>
        <w:t>2</w:t>
      </w:r>
      <w:r w:rsidRPr="00DF0FA0">
        <w:rPr>
          <w:bCs/>
          <w:snapToGrid w:val="0"/>
          <w:sz w:val="22"/>
        </w:rPr>
        <w:t xml:space="preserve"> millones), madera en bruto (US$</w:t>
      </w:r>
      <w:r>
        <w:rPr>
          <w:bCs/>
          <w:snapToGrid w:val="0"/>
          <w:sz w:val="22"/>
        </w:rPr>
        <w:t>3</w:t>
      </w:r>
      <w:r w:rsidRPr="00DF0FA0">
        <w:rPr>
          <w:bCs/>
          <w:snapToGrid w:val="0"/>
          <w:sz w:val="22"/>
        </w:rPr>
        <w:t>,</w:t>
      </w:r>
      <w:r>
        <w:rPr>
          <w:bCs/>
          <w:snapToGrid w:val="0"/>
          <w:sz w:val="22"/>
        </w:rPr>
        <w:t>3</w:t>
      </w:r>
      <w:r w:rsidRPr="00DF0FA0">
        <w:rPr>
          <w:bCs/>
          <w:snapToGrid w:val="0"/>
          <w:sz w:val="22"/>
        </w:rPr>
        <w:t xml:space="preserve"> millones), </w:t>
      </w:r>
      <w:r>
        <w:rPr>
          <w:bCs/>
          <w:snapToGrid w:val="0"/>
          <w:sz w:val="22"/>
        </w:rPr>
        <w:t>automóviles y tractores (US$7,5 millones), en</w:t>
      </w:r>
      <w:r w:rsidRPr="00DF0FA0">
        <w:rPr>
          <w:bCs/>
          <w:snapToGrid w:val="0"/>
          <w:sz w:val="22"/>
        </w:rPr>
        <w:t>tre otros.</w:t>
      </w:r>
    </w:p>
    <w:p w:rsidR="00126EC3" w:rsidRPr="00970D17" w:rsidRDefault="00126EC3" w:rsidP="00126EC3">
      <w:pPr>
        <w:pStyle w:val="Sangradetextonormal"/>
        <w:ind w:firstLine="0"/>
        <w:rPr>
          <w:bCs/>
          <w:snapToGrid w:val="0"/>
          <w:sz w:val="22"/>
        </w:rPr>
      </w:pPr>
    </w:p>
    <w:p w:rsidR="00126EC3" w:rsidRDefault="00126EC3" w:rsidP="00126EC3">
      <w:pPr>
        <w:pStyle w:val="Sangradetextonormal"/>
        <w:ind w:firstLine="0"/>
        <w:rPr>
          <w:b/>
          <w:bCs/>
          <w:snapToGrid w:val="0"/>
          <w:color w:val="FF0000"/>
          <w:sz w:val="22"/>
        </w:rPr>
      </w:pPr>
      <w:r>
        <w:rPr>
          <w:bCs/>
          <w:snapToGrid w:val="0"/>
          <w:sz w:val="22"/>
        </w:rPr>
        <w:t>Panamá</w:t>
      </w:r>
      <w:r w:rsidRPr="00970D17">
        <w:rPr>
          <w:bCs/>
          <w:snapToGrid w:val="0"/>
          <w:sz w:val="22"/>
        </w:rPr>
        <w:t>, con US$</w:t>
      </w:r>
      <w:r>
        <w:rPr>
          <w:bCs/>
          <w:snapToGrid w:val="0"/>
          <w:sz w:val="22"/>
        </w:rPr>
        <w:t xml:space="preserve">15,8 </w:t>
      </w:r>
      <w:r w:rsidRPr="00970D17">
        <w:rPr>
          <w:bCs/>
          <w:snapToGrid w:val="0"/>
          <w:sz w:val="22"/>
        </w:rPr>
        <w:t xml:space="preserve">millones </w:t>
      </w:r>
      <w:r>
        <w:rPr>
          <w:bCs/>
          <w:snapToGrid w:val="0"/>
          <w:sz w:val="22"/>
        </w:rPr>
        <w:t>de úrea y otros abonos</w:t>
      </w:r>
      <w:r w:rsidRPr="00970D17">
        <w:rPr>
          <w:bCs/>
          <w:snapToGrid w:val="0"/>
          <w:sz w:val="22"/>
        </w:rPr>
        <w:t xml:space="preserve"> (US$</w:t>
      </w:r>
      <w:r>
        <w:rPr>
          <w:bCs/>
          <w:snapToGrid w:val="0"/>
          <w:sz w:val="22"/>
        </w:rPr>
        <w:t>7</w:t>
      </w:r>
      <w:r w:rsidRPr="00A126AD">
        <w:rPr>
          <w:bCs/>
          <w:snapToGrid w:val="0"/>
          <w:color w:val="000000"/>
          <w:sz w:val="22"/>
        </w:rPr>
        <w:t>,</w:t>
      </w:r>
      <w:r>
        <w:rPr>
          <w:bCs/>
          <w:snapToGrid w:val="0"/>
          <w:color w:val="000000"/>
          <w:sz w:val="22"/>
        </w:rPr>
        <w:t>8</w:t>
      </w:r>
      <w:r w:rsidRPr="00A126AD">
        <w:rPr>
          <w:bCs/>
          <w:snapToGrid w:val="0"/>
          <w:color w:val="000000"/>
          <w:sz w:val="22"/>
        </w:rPr>
        <w:t xml:space="preserve"> millones), aparatos eléctricos (US$</w:t>
      </w:r>
      <w:r>
        <w:rPr>
          <w:bCs/>
          <w:snapToGrid w:val="0"/>
          <w:color w:val="000000"/>
          <w:sz w:val="22"/>
        </w:rPr>
        <w:t>4,5</w:t>
      </w:r>
      <w:r>
        <w:rPr>
          <w:bCs/>
          <w:snapToGrid w:val="0"/>
          <w:sz w:val="22"/>
        </w:rPr>
        <w:t xml:space="preserve"> millones), entre otros.</w:t>
      </w:r>
    </w:p>
    <w:p w:rsidR="003F7942" w:rsidRDefault="003F7942" w:rsidP="003F7942">
      <w:pPr>
        <w:pStyle w:val="Sangradetextonormal"/>
        <w:ind w:firstLine="0"/>
        <w:rPr>
          <w:bCs/>
          <w:snapToGrid w:val="0"/>
          <w:sz w:val="22"/>
        </w:rPr>
        <w:sectPr w:rsidR="003F7942" w:rsidSect="004E43C2">
          <w:type w:val="continuous"/>
          <w:pgSz w:w="11907" w:h="16840" w:code="9"/>
          <w:pgMar w:top="1701" w:right="1418" w:bottom="1418" w:left="1701" w:header="1134" w:footer="1134" w:gutter="0"/>
          <w:paperSrc w:first="15"/>
          <w:cols w:num="2" w:space="720"/>
          <w:titlePg/>
        </w:sectPr>
      </w:pPr>
    </w:p>
    <w:p w:rsidR="004A74AB" w:rsidRDefault="004A74AB"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sectPr w:rsidR="00126EC3" w:rsidSect="00FA27DE">
          <w:type w:val="continuous"/>
          <w:pgSz w:w="11907" w:h="16840" w:code="9"/>
          <w:pgMar w:top="1701" w:right="1418" w:bottom="1418" w:left="1701" w:header="1134" w:footer="1134" w:gutter="0"/>
          <w:paperSrc w:first="15"/>
          <w:cols w:num="2" w:space="720"/>
          <w:titlePg/>
        </w:sectPr>
      </w:pPr>
    </w:p>
    <w:p w:rsidR="00B11152" w:rsidRDefault="00126EC3" w:rsidP="000C7CD7">
      <w:pPr>
        <w:pStyle w:val="Sangradetextonormal"/>
        <w:ind w:firstLine="0"/>
        <w:jc w:val="center"/>
      </w:pPr>
      <w:r>
        <w:object w:dxaOrig="9015" w:dyaOrig="3987">
          <v:shape id="_x0000_i1056" type="#_x0000_t75" style="width:438.75pt;height:194.25pt" o:ole="">
            <v:imagedata r:id="rId111" o:title=""/>
          </v:shape>
          <o:OLEObject Type="Embed" ProgID="Excel.Sheet.12" ShapeID="_x0000_i1056" DrawAspect="Content" ObjectID="_1420468540" r:id="rId112"/>
        </w:object>
      </w:r>
    </w:p>
    <w:p w:rsidR="00AE15A1" w:rsidRDefault="00AE15A1" w:rsidP="001E1479">
      <w:pPr>
        <w:pStyle w:val="Sangradetextonormal"/>
        <w:ind w:firstLine="0"/>
        <w:jc w:val="center"/>
      </w:pPr>
    </w:p>
    <w:p w:rsidR="001E1479" w:rsidRDefault="001E1479" w:rsidP="001E1479">
      <w:pPr>
        <w:pStyle w:val="Sangradetextonormal"/>
        <w:ind w:firstLine="0"/>
        <w:jc w:val="center"/>
      </w:pPr>
    </w:p>
    <w:p w:rsidR="007E1DFB" w:rsidRDefault="007E1DFB"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EE48F7" w:rsidRDefault="00CE7ABC" w:rsidP="00897B2A">
      <w:pPr>
        <w:pStyle w:val="Sangradetextonormal"/>
        <w:ind w:firstLine="0"/>
        <w:jc w:val="center"/>
        <w:rPr>
          <w:snapToGrid w:val="0"/>
        </w:rPr>
        <w:sectPr w:rsidR="00EE48F7">
          <w:type w:val="continuous"/>
          <w:pgSz w:w="11907" w:h="16840" w:code="9"/>
          <w:pgMar w:top="1701" w:right="1418" w:bottom="1418" w:left="1701" w:header="1134" w:footer="1134" w:gutter="0"/>
          <w:paperSrc w:first="15"/>
          <w:cols w:space="720"/>
          <w:titlePg/>
        </w:sectPr>
      </w:pPr>
      <w:r w:rsidRPr="00CE7ABC">
        <w:rPr>
          <w:noProof/>
          <w:sz w:val="22"/>
          <w:lang w:val="es-ES" w:eastAsia="en-US"/>
        </w:rPr>
        <w:pict>
          <v:shape id="_x0000_s1591" type="#_x0000_t202" style="position:absolute;left:0;text-align:left;margin-left:403.95pt;margin-top:6.45pt;width:27.9pt;height:24pt;z-index:251663872;mso-width-relative:margin;mso-height-relative:margin" stroked="f">
            <v:textbox style="mso-next-textbox:#_x0000_s1591">
              <w:txbxContent>
                <w:p w:rsidR="006913BD" w:rsidRPr="00D819DD" w:rsidRDefault="006913BD">
                  <w:pPr>
                    <w:rPr>
                      <w:sz w:val="20"/>
                      <w:szCs w:val="20"/>
                    </w:rPr>
                  </w:pPr>
                </w:p>
              </w:txbxContent>
            </v:textbox>
          </v:shape>
        </w:pict>
      </w:r>
    </w:p>
    <w:bookmarkEnd w:id="8"/>
    <w:bookmarkEnd w:id="9"/>
    <w:p w:rsidR="00852557" w:rsidRPr="00E1121A" w:rsidRDefault="00852557">
      <w:pPr>
        <w:pStyle w:val="Ttulo4"/>
        <w:keepNext w:val="0"/>
        <w:numPr>
          <w:ilvl w:val="0"/>
          <w:numId w:val="2"/>
        </w:numPr>
        <w:tabs>
          <w:tab w:val="clear" w:pos="-1099"/>
        </w:tabs>
        <w:jc w:val="left"/>
        <w:rPr>
          <w:sz w:val="26"/>
        </w:rPr>
      </w:pPr>
      <w:r w:rsidRPr="00E1121A">
        <w:rPr>
          <w:sz w:val="26"/>
        </w:rPr>
        <w:lastRenderedPageBreak/>
        <w:t>FINANZAS PÚBLICAS</w:t>
      </w:r>
    </w:p>
    <w:p w:rsidR="00852557" w:rsidRPr="004C6DA6" w:rsidRDefault="00852557"/>
    <w:p w:rsidR="00852557" w:rsidRPr="004758D9" w:rsidRDefault="00852557">
      <w:pPr>
        <w:numPr>
          <w:ilvl w:val="1"/>
          <w:numId w:val="3"/>
        </w:numPr>
        <w:rPr>
          <w:b/>
        </w:rPr>
      </w:pPr>
      <w:r w:rsidRPr="004758D9">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13"/>
          <w:footerReference w:type="default" r:id="rId114"/>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AC71AC" w:rsidRDefault="00AC71AC" w:rsidP="00AC71AC">
      <w:pPr>
        <w:pStyle w:val="Textoindependiente2"/>
        <w:tabs>
          <w:tab w:val="left" w:pos="2552"/>
        </w:tabs>
        <w:rPr>
          <w:sz w:val="22"/>
        </w:rPr>
      </w:pPr>
      <w:r w:rsidRPr="004758D9">
        <w:rPr>
          <w:sz w:val="22"/>
        </w:rPr>
        <w:lastRenderedPageBreak/>
        <w:t xml:space="preserve">En </w:t>
      </w:r>
      <w:r w:rsidR="004758D9" w:rsidRPr="004758D9">
        <w:rPr>
          <w:sz w:val="22"/>
        </w:rPr>
        <w:t>noviem</w:t>
      </w:r>
      <w:r w:rsidRPr="004758D9">
        <w:rPr>
          <w:sz w:val="22"/>
        </w:rPr>
        <w:t xml:space="preserve">bre, la </w:t>
      </w:r>
      <w:r w:rsidRPr="004758D9">
        <w:rPr>
          <w:b/>
          <w:sz w:val="22"/>
        </w:rPr>
        <w:t xml:space="preserve">recaudación </w:t>
      </w:r>
      <w:r w:rsidR="00D73C7D" w:rsidRPr="004758D9">
        <w:rPr>
          <w:b/>
          <w:sz w:val="22"/>
        </w:rPr>
        <w:t>de ingresos</w:t>
      </w:r>
      <w:r w:rsidRPr="00D73C7D">
        <w:rPr>
          <w:b/>
          <w:sz w:val="22"/>
        </w:rPr>
        <w:t xml:space="preserve"> realizada por la SUNAT</w:t>
      </w:r>
      <w:r>
        <w:rPr>
          <w:sz w:val="22"/>
        </w:rPr>
        <w:t xml:space="preserve"> bordeó los S/.1</w:t>
      </w:r>
      <w:r w:rsidR="00D05195">
        <w:rPr>
          <w:sz w:val="22"/>
        </w:rPr>
        <w:t>44</w:t>
      </w:r>
      <w:r>
        <w:rPr>
          <w:sz w:val="22"/>
        </w:rPr>
        <w:t>,</w:t>
      </w:r>
      <w:r w:rsidR="004758D9">
        <w:rPr>
          <w:sz w:val="22"/>
        </w:rPr>
        <w:t>4</w:t>
      </w:r>
      <w:r>
        <w:rPr>
          <w:sz w:val="22"/>
        </w:rPr>
        <w:t xml:space="preserve"> millones, lo que </w:t>
      </w:r>
      <w:r w:rsidR="004758D9">
        <w:rPr>
          <w:sz w:val="22"/>
        </w:rPr>
        <w:t>implicó</w:t>
      </w:r>
      <w:r>
        <w:rPr>
          <w:sz w:val="22"/>
        </w:rPr>
        <w:t xml:space="preserve"> un incremento del </w:t>
      </w:r>
      <w:r w:rsidR="00D05195">
        <w:rPr>
          <w:sz w:val="22"/>
        </w:rPr>
        <w:t>18</w:t>
      </w:r>
      <w:r>
        <w:rPr>
          <w:sz w:val="22"/>
        </w:rPr>
        <w:t>,</w:t>
      </w:r>
      <w:r w:rsidR="00D05195">
        <w:rPr>
          <w:sz w:val="22"/>
        </w:rPr>
        <w:t>6</w:t>
      </w:r>
      <w:r>
        <w:rPr>
          <w:sz w:val="22"/>
        </w:rPr>
        <w:t xml:space="preserve"> por ciento respecto de igual mes del año anterior. Esto radicó en la expansión de los impuestos a los ingresos </w:t>
      </w:r>
      <w:r>
        <w:rPr>
          <w:sz w:val="22"/>
        </w:rPr>
        <w:lastRenderedPageBreak/>
        <w:t>(</w:t>
      </w:r>
      <w:r w:rsidR="00D05195">
        <w:rPr>
          <w:sz w:val="22"/>
        </w:rPr>
        <w:t>32</w:t>
      </w:r>
      <w:r>
        <w:rPr>
          <w:sz w:val="22"/>
        </w:rPr>
        <w:t>,</w:t>
      </w:r>
      <w:r w:rsidR="00D05195">
        <w:rPr>
          <w:sz w:val="22"/>
        </w:rPr>
        <w:t>1</w:t>
      </w:r>
      <w:r>
        <w:rPr>
          <w:sz w:val="22"/>
        </w:rPr>
        <w:t xml:space="preserve"> por ciento) y del impuesto general a las ventas (</w:t>
      </w:r>
      <w:r w:rsidR="00D05195">
        <w:rPr>
          <w:sz w:val="22"/>
        </w:rPr>
        <w:t>7</w:t>
      </w:r>
      <w:r>
        <w:rPr>
          <w:sz w:val="22"/>
        </w:rPr>
        <w:t>,</w:t>
      </w:r>
      <w:r w:rsidR="00D05195">
        <w:rPr>
          <w:sz w:val="22"/>
        </w:rPr>
        <w:t>5</w:t>
      </w:r>
      <w:r>
        <w:rPr>
          <w:sz w:val="22"/>
        </w:rPr>
        <w:t xml:space="preserve"> por ciento). Por otra parte, en los primeros </w:t>
      </w:r>
      <w:r w:rsidR="004758D9">
        <w:rPr>
          <w:sz w:val="22"/>
        </w:rPr>
        <w:t xml:space="preserve">once </w:t>
      </w:r>
      <w:r>
        <w:rPr>
          <w:sz w:val="22"/>
        </w:rPr>
        <w:t xml:space="preserve">meses del año, los ingresos fiscales  aumentaron en </w:t>
      </w:r>
      <w:r w:rsidR="00D05195">
        <w:rPr>
          <w:sz w:val="22"/>
        </w:rPr>
        <w:t>3</w:t>
      </w:r>
      <w:r>
        <w:rPr>
          <w:sz w:val="22"/>
        </w:rPr>
        <w:t>,</w:t>
      </w:r>
      <w:r w:rsidR="00D05195">
        <w:rPr>
          <w:sz w:val="22"/>
        </w:rPr>
        <w:t>7</w:t>
      </w:r>
      <w:r>
        <w:rPr>
          <w:sz w:val="22"/>
        </w:rPr>
        <w:t xml:space="preserve"> por ciento con relación a similar período del año previo. </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D05195"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object w:dxaOrig="10505" w:dyaOrig="6236">
          <v:shape id="_x0000_i1057" type="#_x0000_t75" style="width:441.75pt;height:279.75pt" o:ole="">
            <v:imagedata r:id="rId115" o:title=""/>
          </v:shape>
          <o:OLEObject Type="Embed" ProgID="Excel.Sheet.12" ShapeID="_x0000_i1057" DrawAspect="Content" ObjectID="_1420468541" r:id="rId116"/>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C6DA6">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767BBB" w:rsidRDefault="00767BBB" w:rsidP="00767BBB">
      <w:pPr>
        <w:pStyle w:val="Textoindependiente2"/>
        <w:rPr>
          <w:sz w:val="22"/>
          <w:szCs w:val="22"/>
        </w:rPr>
      </w:pPr>
      <w:r w:rsidRPr="00600001">
        <w:rPr>
          <w:sz w:val="22"/>
          <w:szCs w:val="22"/>
        </w:rPr>
        <w:lastRenderedPageBreak/>
        <w:t xml:space="preserve">En </w:t>
      </w:r>
      <w:r>
        <w:rPr>
          <w:sz w:val="22"/>
          <w:szCs w:val="22"/>
        </w:rPr>
        <w:t xml:space="preserve">noviembre, el gasto del gobierno regional bordeó los S/.128,1 millones y superó en 35,5 por ciento al ejecutado en el mismo mes del año anterior, debido principalmente a la expansión del gasto de capital (181,5 por ciento). Éste se destinó,  en gran parte, al proyecto hidro-energético del Alto Piura </w:t>
      </w:r>
      <w:r w:rsidRPr="003D510B">
        <w:rPr>
          <w:sz w:val="22"/>
          <w:szCs w:val="22"/>
        </w:rPr>
        <w:t>(S/.</w:t>
      </w:r>
      <w:r>
        <w:rPr>
          <w:sz w:val="22"/>
          <w:szCs w:val="22"/>
        </w:rPr>
        <w:t>33,1</w:t>
      </w:r>
      <w:r w:rsidRPr="003D510B">
        <w:rPr>
          <w:sz w:val="22"/>
          <w:szCs w:val="22"/>
        </w:rPr>
        <w:t xml:space="preserve"> millones)</w:t>
      </w:r>
      <w:r>
        <w:rPr>
          <w:sz w:val="22"/>
          <w:szCs w:val="22"/>
        </w:rPr>
        <w:t xml:space="preserve">; además, se invirtió en la construcción de la carretera Tambogrande-km.21 (S/.0,9 millones), la rehabilitación y mejoramiento de la carretera Sajinos-Ayabaca-Socchabamba </w:t>
      </w:r>
      <w:r>
        <w:rPr>
          <w:sz w:val="22"/>
          <w:szCs w:val="22"/>
        </w:rPr>
        <w:lastRenderedPageBreak/>
        <w:t xml:space="preserve">(S/.0,9 millones), la protección del cuenco amortiguador de la Presa Poechos (S/.1,8 millones), la construcción del hospital Las Mercedes en Paita (S/.3,3 millones), el mejoramiento de la infraestructura educativa (S/.2,0 millones) y defensas ribereñas de Morropón (S/.1,8 millones). </w:t>
      </w:r>
    </w:p>
    <w:p w:rsidR="00767BBB" w:rsidRDefault="00767BBB" w:rsidP="00767BBB">
      <w:pPr>
        <w:pStyle w:val="Textoindependiente2"/>
        <w:rPr>
          <w:sz w:val="22"/>
          <w:szCs w:val="22"/>
        </w:rPr>
      </w:pPr>
    </w:p>
    <w:p w:rsidR="00F143AB" w:rsidRDefault="00767BBB" w:rsidP="00767BBB">
      <w:pPr>
        <w:pStyle w:val="Textoindependiente2"/>
        <w:rPr>
          <w:color w:val="FF0000"/>
          <w:sz w:val="22"/>
          <w:szCs w:val="22"/>
        </w:rPr>
        <w:sectPr w:rsidR="00F143AB" w:rsidSect="00D22BF6">
          <w:type w:val="continuous"/>
          <w:pgSz w:w="11907" w:h="16840" w:code="9"/>
          <w:pgMar w:top="1418" w:right="1701" w:bottom="1418" w:left="1701" w:header="720" w:footer="720" w:gutter="0"/>
          <w:cols w:num="2" w:space="720"/>
        </w:sectPr>
      </w:pPr>
      <w:r>
        <w:rPr>
          <w:sz w:val="22"/>
          <w:szCs w:val="22"/>
        </w:rPr>
        <w:t xml:space="preserve">En lo que va del año, el gasto de la autoridad regional se incrementó en 23,1 por ciento respecto de similar período del año pasado. </w:t>
      </w:r>
      <w:r w:rsidRPr="00767BBB">
        <w:rPr>
          <w:color w:val="FFFFFF" w:themeColor="background1"/>
          <w:sz w:val="22"/>
          <w:szCs w:val="22"/>
        </w:rPr>
        <w:t>……………………………….</w:t>
      </w:r>
    </w:p>
    <w:p w:rsidR="000D5807" w:rsidRDefault="00CE7ABC" w:rsidP="00DD0B60">
      <w:pPr>
        <w:pStyle w:val="Textoindependiente2"/>
        <w:rPr>
          <w:color w:val="FF0000"/>
          <w:sz w:val="22"/>
          <w:szCs w:val="22"/>
        </w:rPr>
      </w:pPr>
      <w:r w:rsidRPr="00CE7ABC">
        <w:rPr>
          <w:noProof/>
          <w:color w:val="FF0000"/>
          <w:sz w:val="22"/>
          <w:szCs w:val="22"/>
          <w:lang w:eastAsia="en-US"/>
        </w:rPr>
        <w:lastRenderedPageBreak/>
        <w:pict>
          <v:shape id="_x0000_s409652" type="#_x0000_t202" style="position:absolute;left:0;text-align:left;margin-left:420.45pt;margin-top:36.95pt;width:27.9pt;height:23.25pt;z-index:251785728;mso-width-relative:margin;mso-height-relative:margin" stroked="f">
            <v:textbox>
              <w:txbxContent>
                <w:p w:rsidR="006913BD" w:rsidRPr="003F524A" w:rsidRDefault="006913BD">
                  <w:pPr>
                    <w:rPr>
                      <w:sz w:val="20"/>
                      <w:szCs w:val="20"/>
                      <w:lang w:val="es-PE"/>
                    </w:rPr>
                  </w:pPr>
                </w:p>
              </w:txbxContent>
            </v:textbox>
          </v:shape>
        </w:pict>
      </w:r>
    </w:p>
    <w:p w:rsidR="00852557" w:rsidRDefault="00910318"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DA408E">
        <w:rPr>
          <w:color w:val="FF0000"/>
          <w:sz w:val="22"/>
          <w:szCs w:val="22"/>
        </w:rPr>
        <w:object w:dxaOrig="9112" w:dyaOrig="5452">
          <v:shape id="_x0000_i1058" type="#_x0000_t75" style="width:420.75pt;height:284.25pt" o:ole="">
            <v:imagedata r:id="rId117" o:title=""/>
          </v:shape>
          <o:OLEObject Type="Embed" ProgID="Excel.Sheet.12" ShapeID="_x0000_i1058" DrawAspect="Content" ObjectID="_1420468542" r:id="rId118"/>
        </w:object>
      </w:r>
    </w:p>
    <w:p w:rsidR="000D5807" w:rsidRDefault="000D5807">
      <w:pPr>
        <w:pStyle w:val="Textoindependiente2"/>
        <w:rPr>
          <w:color w:val="FF0000"/>
          <w:sz w:val="22"/>
          <w:szCs w:val="22"/>
        </w:rPr>
      </w:pPr>
    </w:p>
    <w:p w:rsidR="00F143AB" w:rsidRDefault="00F143AB">
      <w:pPr>
        <w:pStyle w:val="Textoindependiente2"/>
        <w:rPr>
          <w:color w:val="FF0000"/>
          <w:sz w:val="22"/>
          <w:szCs w:val="22"/>
        </w:rPr>
      </w:pPr>
    </w:p>
    <w:p w:rsidR="00C4157E" w:rsidRDefault="00C4157E">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767BBB" w:rsidRDefault="00767BBB" w:rsidP="00767BBB">
      <w:pPr>
        <w:pStyle w:val="Textoindependiente2"/>
        <w:rPr>
          <w:sz w:val="22"/>
        </w:rPr>
      </w:pPr>
      <w:r>
        <w:rPr>
          <w:sz w:val="22"/>
        </w:rPr>
        <w:lastRenderedPageBreak/>
        <w:t xml:space="preserve">El financiamiento del gasto mensual del Gobierno Regional provino principalmente de “Recursos Ordinarios” (58,0 por ciento del total); sin embargo, estos se contrajeron </w:t>
      </w:r>
      <w:r>
        <w:rPr>
          <w:sz w:val="22"/>
        </w:rPr>
        <w:lastRenderedPageBreak/>
        <w:t xml:space="preserve">en 10,9 por ciento respecto de noviembre del año previo. Esto fue compensado con creces por la expansión de los “Recursos Determinados” (686,5 por ciento). </w:t>
      </w:r>
    </w:p>
    <w:p w:rsidR="00921616" w:rsidRDefault="00921616" w:rsidP="004B5E5D">
      <w:pPr>
        <w:pStyle w:val="Textoindependiente2"/>
        <w:rPr>
          <w:sz w:val="22"/>
        </w:rPr>
        <w:sectPr w:rsidR="00921616" w:rsidSect="001D5F9A">
          <w:type w:val="continuous"/>
          <w:pgSz w:w="11907" w:h="16840" w:code="9"/>
          <w:pgMar w:top="1418" w:right="1701" w:bottom="1418" w:left="1701" w:header="720" w:footer="720" w:gutter="0"/>
          <w:cols w:num="2" w:space="720"/>
        </w:sectPr>
      </w:pP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767BBB" w:rsidP="004E43C2">
      <w:pPr>
        <w:pStyle w:val="Textoindependiente2"/>
        <w:jc w:val="center"/>
        <w:rPr>
          <w:sz w:val="22"/>
        </w:rPr>
      </w:pPr>
      <w:r w:rsidRPr="00DA408E">
        <w:rPr>
          <w:sz w:val="22"/>
        </w:rPr>
        <w:object w:dxaOrig="9222" w:dyaOrig="3666">
          <v:shape id="_x0000_i1059" type="#_x0000_t75" style="width:414pt;height:204pt" o:ole="">
            <v:imagedata r:id="rId119" o:title=""/>
          </v:shape>
          <o:OLEObject Type="Embed" ProgID="Excel.Sheet.12" ShapeID="_x0000_i1059" DrawAspect="Content" ObjectID="_1420468543" r:id="rId120"/>
        </w:object>
      </w:r>
    </w:p>
    <w:p w:rsidR="000D5807" w:rsidRDefault="000D5807" w:rsidP="000D5807">
      <w:pPr>
        <w:rPr>
          <w:sz w:val="22"/>
          <w:szCs w:val="22"/>
          <w:lang w:val="es-MX"/>
        </w:rPr>
      </w:pPr>
    </w:p>
    <w:p w:rsidR="00757D14" w:rsidRDefault="00757D14" w:rsidP="000D5807">
      <w:pPr>
        <w:rPr>
          <w:sz w:val="22"/>
          <w:szCs w:val="22"/>
          <w:lang w:val="es-MX"/>
        </w:rPr>
        <w:sectPr w:rsidR="00757D14" w:rsidSect="00594DAB">
          <w:headerReference w:type="even" r:id="rId121"/>
          <w:headerReference w:type="default" r:id="rId122"/>
          <w:footerReference w:type="default" r:id="rId123"/>
          <w:type w:val="continuous"/>
          <w:pgSz w:w="11907" w:h="16840" w:code="9"/>
          <w:pgMar w:top="993" w:right="1701" w:bottom="709" w:left="1701" w:header="720" w:footer="720" w:gutter="0"/>
          <w:cols w:space="709"/>
        </w:sectPr>
      </w:pPr>
    </w:p>
    <w:p w:rsidR="00767BBB" w:rsidRDefault="00767BBB" w:rsidP="00767BBB">
      <w:pPr>
        <w:rPr>
          <w:sz w:val="22"/>
          <w:szCs w:val="22"/>
          <w:lang w:val="es-MX"/>
        </w:rPr>
      </w:pPr>
      <w:r>
        <w:rPr>
          <w:sz w:val="22"/>
          <w:szCs w:val="22"/>
          <w:lang w:val="es-MX"/>
        </w:rPr>
        <w:lastRenderedPageBreak/>
        <w:t>El Presupuesto Institucional Modificado (PIM), a noviembre, bordeó los S/. 1 326,8  millones y registró una ejecución acumulada del 74,8</w:t>
      </w:r>
      <w:r w:rsidRPr="004B3026">
        <w:rPr>
          <w:sz w:val="22"/>
          <w:szCs w:val="22"/>
          <w:lang w:val="es-MX"/>
        </w:rPr>
        <w:t xml:space="preserve"> por ciento</w:t>
      </w:r>
      <w:r>
        <w:rPr>
          <w:sz w:val="22"/>
          <w:szCs w:val="22"/>
          <w:lang w:val="es-MX"/>
        </w:rPr>
        <w:t xml:space="preserve">, con un </w:t>
      </w:r>
      <w:r w:rsidRPr="004B3026">
        <w:rPr>
          <w:sz w:val="22"/>
          <w:szCs w:val="22"/>
          <w:lang w:val="es-MX"/>
        </w:rPr>
        <w:lastRenderedPageBreak/>
        <w:t xml:space="preserve">avance de </w:t>
      </w:r>
      <w:r>
        <w:rPr>
          <w:sz w:val="22"/>
          <w:szCs w:val="22"/>
          <w:lang w:val="es-MX"/>
        </w:rPr>
        <w:t xml:space="preserve">82,1 </w:t>
      </w:r>
      <w:r w:rsidRPr="004B3026">
        <w:rPr>
          <w:sz w:val="22"/>
          <w:szCs w:val="22"/>
          <w:lang w:val="es-MX"/>
        </w:rPr>
        <w:t xml:space="preserve">por ciento en gastos corrientes y de </w:t>
      </w:r>
      <w:r>
        <w:rPr>
          <w:sz w:val="22"/>
          <w:szCs w:val="22"/>
          <w:lang w:val="es-MX"/>
        </w:rPr>
        <w:t>60,1</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1E641D" w:rsidRDefault="001E641D" w:rsidP="001E641D">
      <w:pPr>
        <w:rPr>
          <w:sz w:val="22"/>
          <w:szCs w:val="22"/>
          <w:lang w:val="es-MX"/>
        </w:rPr>
        <w:sectPr w:rsidR="001E641D" w:rsidSect="007B2C84">
          <w:type w:val="continuous"/>
          <w:pgSz w:w="11907" w:h="16840" w:code="9"/>
          <w:pgMar w:top="993" w:right="1701" w:bottom="709" w:left="1701" w:header="720" w:footer="720" w:gutter="0"/>
          <w:cols w:num="2" w:space="720"/>
        </w:sectPr>
      </w:pPr>
    </w:p>
    <w:p w:rsidR="000D5807" w:rsidRDefault="000D5807" w:rsidP="000D5807">
      <w:pPr>
        <w:rPr>
          <w:sz w:val="22"/>
          <w:szCs w:val="22"/>
          <w:lang w:val="es-MX"/>
        </w:rPr>
        <w:sectPr w:rsidR="000D5807" w:rsidSect="001D5F9A">
          <w:type w:val="continuous"/>
          <w:pgSz w:w="11907" w:h="16840" w:code="9"/>
          <w:pgMar w:top="993" w:right="1701" w:bottom="709" w:left="1701" w:header="720" w:footer="720" w:gutter="0"/>
          <w:cols w:num="2" w:space="709"/>
        </w:sectPr>
      </w:pPr>
    </w:p>
    <w:p w:rsidR="001D5F9A" w:rsidRDefault="001D5F9A">
      <w:pPr>
        <w:rPr>
          <w:sz w:val="22"/>
          <w:szCs w:val="22"/>
          <w:lang w:val="es-MX"/>
        </w:rPr>
        <w:sectPr w:rsidR="001D5F9A">
          <w:type w:val="continuous"/>
          <w:pgSz w:w="11907" w:h="16840" w:code="9"/>
          <w:pgMar w:top="993" w:right="1701" w:bottom="709" w:left="1701" w:header="720" w:footer="720" w:gutter="0"/>
          <w:cols w:space="709"/>
        </w:sectPr>
      </w:pPr>
    </w:p>
    <w:p w:rsidR="0097000A" w:rsidRDefault="0097000A">
      <w:pPr>
        <w:rPr>
          <w:sz w:val="22"/>
          <w:szCs w:val="22"/>
          <w:lang w:val="es-MX"/>
        </w:rPr>
      </w:pPr>
    </w:p>
    <w:p w:rsidR="001D5F9A" w:rsidRDefault="001D5F9A">
      <w:pPr>
        <w:rPr>
          <w:sz w:val="22"/>
          <w:szCs w:val="22"/>
          <w:lang w:val="es-MX"/>
        </w:rPr>
      </w:pPr>
    </w:p>
    <w:p w:rsidR="00AC71AC" w:rsidRDefault="00AC71AC">
      <w:pPr>
        <w:rPr>
          <w:sz w:val="22"/>
          <w:szCs w:val="22"/>
          <w:lang w:val="es-MX"/>
        </w:rPr>
      </w:pPr>
    </w:p>
    <w:p w:rsidR="00852557" w:rsidRDefault="00852557">
      <w:pPr>
        <w:rPr>
          <w:b/>
          <w:bCs/>
          <w:sz w:val="22"/>
        </w:rPr>
      </w:pPr>
      <w:r w:rsidRPr="005A0A8E">
        <w:rPr>
          <w:b/>
          <w:bCs/>
        </w:rPr>
        <w:t>4</w:t>
      </w:r>
      <w:r w:rsidRPr="005A0A8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767BBB" w:rsidRDefault="00767BBB" w:rsidP="00767BBB">
      <w:pPr>
        <w:rPr>
          <w:bCs/>
          <w:sz w:val="22"/>
          <w:szCs w:val="22"/>
        </w:rPr>
      </w:pPr>
      <w:r>
        <w:rPr>
          <w:bCs/>
          <w:sz w:val="22"/>
          <w:szCs w:val="22"/>
        </w:rPr>
        <w:lastRenderedPageBreak/>
        <w:t>En noviembre, los gastos del gobierno local de Piura alcanzaron los S/. 35,1 millones, superando en 60,2 por ciento a los ejecutados en el mismo mes del 2011. Es</w:t>
      </w:r>
      <w:r w:rsidR="00570895">
        <w:rPr>
          <w:bCs/>
          <w:sz w:val="22"/>
          <w:szCs w:val="22"/>
        </w:rPr>
        <w:t>t</w:t>
      </w:r>
      <w:r>
        <w:rPr>
          <w:bCs/>
          <w:sz w:val="22"/>
          <w:szCs w:val="22"/>
        </w:rPr>
        <w:t xml:space="preserve">o radicó en el incremento del gasto de capital (87,0 por ciento), el cual se dirigió principalmente a las siguientes obras y proyectos: rehabilitación del sistema de agua potable y alcantarillado en Tambogrande (S/.2,4 millones), </w:t>
      </w:r>
      <w:r>
        <w:rPr>
          <w:bCs/>
          <w:sz w:val="22"/>
          <w:szCs w:val="22"/>
        </w:rPr>
        <w:lastRenderedPageBreak/>
        <w:t>asentamientos humanos de Castilla (S/.2,4 millones) y casco urbano de La Unión (S/.1,1 millones); mejoramiento del sistema de riego en Tambogrande (S/.5,7 millones).</w:t>
      </w:r>
    </w:p>
    <w:p w:rsidR="00767BBB" w:rsidRDefault="00767BBB" w:rsidP="00767BBB">
      <w:pPr>
        <w:rPr>
          <w:bCs/>
          <w:sz w:val="22"/>
          <w:szCs w:val="22"/>
        </w:rPr>
      </w:pPr>
    </w:p>
    <w:p w:rsidR="00767BBB" w:rsidRDefault="00767BBB" w:rsidP="00767BBB">
      <w:pPr>
        <w:rPr>
          <w:bCs/>
          <w:sz w:val="22"/>
          <w:szCs w:val="22"/>
        </w:rPr>
      </w:pPr>
      <w:r>
        <w:rPr>
          <w:bCs/>
          <w:sz w:val="22"/>
          <w:szCs w:val="22"/>
        </w:rPr>
        <w:t>En los primeros once meses del año, el gasto de la autoridad local se expandió en 47,0 por ciento respecto de igual período del año anterior.</w:t>
      </w:r>
    </w:p>
    <w:p w:rsidR="00F143AB" w:rsidRDefault="00F143AB" w:rsidP="00DE2FC9">
      <w:pPr>
        <w:rPr>
          <w:bCs/>
          <w:sz w:val="22"/>
          <w:szCs w:val="22"/>
        </w:rPr>
        <w:sectPr w:rsidR="00F143AB" w:rsidSect="00F143AB">
          <w:type w:val="continuous"/>
          <w:pgSz w:w="11907" w:h="16840" w:code="9"/>
          <w:pgMar w:top="1418" w:right="1701" w:bottom="1418" w:left="1701" w:header="720" w:footer="720" w:gutter="0"/>
          <w:cols w:num="2" w:space="709"/>
        </w:sectPr>
      </w:pPr>
    </w:p>
    <w:p w:rsidR="0097000A" w:rsidRDefault="0097000A" w:rsidP="00DE2FC9">
      <w:pPr>
        <w:rPr>
          <w:bCs/>
          <w:sz w:val="22"/>
          <w:szCs w:val="22"/>
        </w:rPr>
      </w:pPr>
    </w:p>
    <w:p w:rsidR="0097000A" w:rsidRDefault="0097000A" w:rsidP="00DE2FC9">
      <w:pPr>
        <w:rPr>
          <w:bCs/>
          <w:sz w:val="22"/>
          <w:szCs w:val="22"/>
        </w:rPr>
      </w:pPr>
    </w:p>
    <w:p w:rsidR="00F143AB" w:rsidRDefault="00F143AB" w:rsidP="00DE2FC9">
      <w:pPr>
        <w:rPr>
          <w:bCs/>
          <w:sz w:val="22"/>
          <w:szCs w:val="22"/>
        </w:rPr>
        <w:sectPr w:rsidR="00F143AB" w:rsidSect="0097000A">
          <w:type w:val="continuous"/>
          <w:pgSz w:w="11907" w:h="16840" w:code="9"/>
          <w:pgMar w:top="1418" w:right="1701" w:bottom="1418" w:left="1701" w:header="720" w:footer="720" w:gutter="0"/>
          <w:cols w:num="2" w:space="709"/>
        </w:sectPr>
      </w:pPr>
    </w:p>
    <w:p w:rsidR="00130FC0" w:rsidRDefault="00767BBB" w:rsidP="00DE2FC9">
      <w:pPr>
        <w:rPr>
          <w:bCs/>
          <w:sz w:val="22"/>
          <w:szCs w:val="22"/>
        </w:rPr>
        <w:sectPr w:rsidR="00130FC0" w:rsidSect="00130FC0">
          <w:type w:val="continuous"/>
          <w:pgSz w:w="11907" w:h="16840" w:code="9"/>
          <w:pgMar w:top="1418" w:right="1701" w:bottom="1418" w:left="1701" w:header="720" w:footer="720" w:gutter="0"/>
          <w:cols w:space="709"/>
        </w:sectPr>
      </w:pPr>
      <w:r w:rsidRPr="00DA408E">
        <w:rPr>
          <w:bCs/>
          <w:sz w:val="22"/>
          <w:szCs w:val="22"/>
        </w:rPr>
        <w:object w:dxaOrig="8607" w:dyaOrig="4904">
          <v:shape id="_x0000_i1060" type="#_x0000_t75" style="width:422.25pt;height:232.5pt" o:ole="">
            <v:imagedata r:id="rId124" o:title=""/>
          </v:shape>
          <o:OLEObject Type="Embed" ProgID="Excel.Sheet.12" ShapeID="_x0000_i1060" DrawAspect="Content" ObjectID="_1420468544" r:id="rId125"/>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767BBB" w:rsidRDefault="00767BBB" w:rsidP="00767BBB">
      <w:pPr>
        <w:rPr>
          <w:sz w:val="22"/>
          <w:szCs w:val="22"/>
          <w:lang w:val="es-MX"/>
        </w:rPr>
      </w:pPr>
      <w:r>
        <w:rPr>
          <w:sz w:val="22"/>
          <w:szCs w:val="22"/>
          <w:lang w:val="es-MX"/>
        </w:rPr>
        <w:lastRenderedPageBreak/>
        <w:t xml:space="preserve">El financiamiento del gasto mensual de la municipalidad provincial de Piura provino principalmente de “Recursos Determinados” que representaron el 54,5 por ciento del total y se incrementaron en </w:t>
      </w:r>
      <w:r>
        <w:rPr>
          <w:sz w:val="22"/>
          <w:szCs w:val="22"/>
          <w:lang w:val="es-MX"/>
        </w:rPr>
        <w:lastRenderedPageBreak/>
        <w:t>59,5 por ciento con relación a noviembre del año pasado. La segunda fuente de ingresos fue la de “Recursos Ordinarios” que tuvo una notable expansión del 177,0 por ciento.</w:t>
      </w:r>
    </w:p>
    <w:p w:rsidR="00130FC0" w:rsidRDefault="00130FC0" w:rsidP="008D30F3">
      <w:pPr>
        <w:rPr>
          <w:sz w:val="22"/>
          <w:szCs w:val="22"/>
          <w:lang w:val="es-MX"/>
        </w:rPr>
        <w:sectPr w:rsidR="00130FC0" w:rsidSect="001D5F9A">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767BBB">
      <w:pPr>
        <w:rPr>
          <w:sz w:val="22"/>
          <w:szCs w:val="22"/>
          <w:lang w:val="es-MX"/>
        </w:rPr>
        <w:sectPr w:rsidR="00130FC0" w:rsidSect="00130FC0">
          <w:type w:val="continuous"/>
          <w:pgSz w:w="11907" w:h="16840" w:code="9"/>
          <w:pgMar w:top="1418" w:right="1701" w:bottom="1418" w:left="1701" w:header="720" w:footer="720" w:gutter="0"/>
          <w:cols w:space="709"/>
        </w:sectPr>
      </w:pPr>
      <w:r w:rsidRPr="00DA408E">
        <w:rPr>
          <w:sz w:val="22"/>
          <w:szCs w:val="22"/>
          <w:lang w:val="es-MX"/>
        </w:rPr>
        <w:object w:dxaOrig="8765" w:dyaOrig="3682">
          <v:shape id="_x0000_i1061" type="#_x0000_t75" style="width:428.25pt;height:150.75pt" o:ole="">
            <v:imagedata r:id="rId126" o:title=""/>
          </v:shape>
          <o:OLEObject Type="Embed" ProgID="Excel.Sheet.12" ShapeID="_x0000_i1061" DrawAspect="Content" ObjectID="_1420468545" r:id="rId127"/>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767BBB" w:rsidRDefault="00767BBB" w:rsidP="00767BBB">
      <w:pPr>
        <w:pStyle w:val="SBS"/>
        <w:rPr>
          <w:rFonts w:ascii="Times New Roman" w:hAnsi="Times New Roman"/>
        </w:rPr>
      </w:pPr>
      <w:r>
        <w:rPr>
          <w:rFonts w:ascii="Times New Roman" w:hAnsi="Times New Roman"/>
        </w:rPr>
        <w:lastRenderedPageBreak/>
        <w:t>E</w:t>
      </w:r>
      <w:r w:rsidRPr="00C02242">
        <w:rPr>
          <w:rFonts w:ascii="Times New Roman" w:hAnsi="Times New Roman"/>
        </w:rPr>
        <w:t xml:space="preserve">l </w:t>
      </w:r>
      <w:r>
        <w:rPr>
          <w:rFonts w:ascii="Times New Roman" w:hAnsi="Times New Roman"/>
        </w:rPr>
        <w:t>P</w:t>
      </w:r>
      <w:r w:rsidRPr="00C02242">
        <w:rPr>
          <w:rFonts w:ascii="Times New Roman" w:hAnsi="Times New Roman"/>
        </w:rPr>
        <w:t xml:space="preserve">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w:t>
      </w:r>
      <w:r>
        <w:rPr>
          <w:rFonts w:ascii="Times New Roman" w:hAnsi="Times New Roman"/>
        </w:rPr>
        <w:t xml:space="preserve"> bordeó los </w:t>
      </w:r>
      <w:r w:rsidRPr="00C02242">
        <w:rPr>
          <w:rFonts w:ascii="Times New Roman" w:hAnsi="Times New Roman"/>
        </w:rPr>
        <w:t>S/.</w:t>
      </w:r>
      <w:r>
        <w:rPr>
          <w:rFonts w:ascii="Times New Roman" w:hAnsi="Times New Roman"/>
        </w:rPr>
        <w:t>455,4</w:t>
      </w:r>
      <w:r w:rsidRPr="00C02242">
        <w:rPr>
          <w:rFonts w:ascii="Times New Roman" w:hAnsi="Times New Roman"/>
        </w:rPr>
        <w:t xml:space="preserve"> millones</w:t>
      </w:r>
      <w:r>
        <w:rPr>
          <w:rFonts w:ascii="Times New Roman" w:hAnsi="Times New Roman"/>
        </w:rPr>
        <w:t xml:space="preserve"> y mostró </w:t>
      </w:r>
      <w:r w:rsidRPr="00C02242">
        <w:rPr>
          <w:rFonts w:ascii="Times New Roman" w:hAnsi="Times New Roman"/>
        </w:rPr>
        <w:t xml:space="preserve">una ejecución </w:t>
      </w:r>
      <w:r>
        <w:rPr>
          <w:rFonts w:ascii="Times New Roman" w:hAnsi="Times New Roman"/>
        </w:rPr>
        <w:t xml:space="preserve">acumulada </w:t>
      </w:r>
      <w:r w:rsidRPr="00C02242">
        <w:rPr>
          <w:rFonts w:ascii="Times New Roman" w:hAnsi="Times New Roman"/>
        </w:rPr>
        <w:t>de</w:t>
      </w:r>
      <w:r>
        <w:rPr>
          <w:rFonts w:ascii="Times New Roman" w:hAnsi="Times New Roman"/>
        </w:rPr>
        <w:t>l</w:t>
      </w:r>
      <w:r w:rsidRPr="00C02242">
        <w:rPr>
          <w:rFonts w:ascii="Times New Roman" w:hAnsi="Times New Roman"/>
        </w:rPr>
        <w:t xml:space="preserve"> </w:t>
      </w:r>
      <w:r>
        <w:rPr>
          <w:rFonts w:ascii="Times New Roman" w:hAnsi="Times New Roman"/>
        </w:rPr>
        <w:t>61,0</w:t>
      </w:r>
      <w:r w:rsidRPr="00C02242">
        <w:rPr>
          <w:rFonts w:ascii="Times New Roman" w:hAnsi="Times New Roman"/>
        </w:rPr>
        <w:t xml:space="preserve"> </w:t>
      </w:r>
      <w:r w:rsidRPr="00C02242">
        <w:rPr>
          <w:rFonts w:ascii="Times New Roman" w:hAnsi="Times New Roman"/>
        </w:rPr>
        <w:lastRenderedPageBreak/>
        <w:t>por ciento</w:t>
      </w:r>
      <w:r>
        <w:rPr>
          <w:rFonts w:ascii="Times New Roman" w:hAnsi="Times New Roman"/>
        </w:rPr>
        <w:t xml:space="preserve">, con un </w:t>
      </w:r>
      <w:r w:rsidRPr="00C02242">
        <w:rPr>
          <w:rFonts w:ascii="Times New Roman" w:hAnsi="Times New Roman"/>
        </w:rPr>
        <w:t xml:space="preserve">avance de </w:t>
      </w:r>
      <w:r>
        <w:rPr>
          <w:rFonts w:ascii="Times New Roman" w:hAnsi="Times New Roman"/>
        </w:rPr>
        <w:t xml:space="preserve">77,0 </w:t>
      </w:r>
      <w:r w:rsidRPr="00C02242">
        <w:rPr>
          <w:rFonts w:ascii="Times New Roman" w:hAnsi="Times New Roman"/>
        </w:rPr>
        <w:t xml:space="preserve">por ciento en gastos corrientes y de </w:t>
      </w:r>
      <w:r>
        <w:rPr>
          <w:rFonts w:ascii="Times New Roman" w:hAnsi="Times New Roman"/>
        </w:rPr>
        <w:t xml:space="preserve">50,0 </w:t>
      </w:r>
      <w:r w:rsidRPr="00C02242">
        <w:rPr>
          <w:rFonts w:ascii="Times New Roman" w:hAnsi="Times New Roman"/>
        </w:rPr>
        <w:t>por ciento en gastos de capital</w:t>
      </w:r>
      <w:r>
        <w:rPr>
          <w:rFonts w:ascii="Times New Roman" w:hAnsi="Times New Roman"/>
        </w:rPr>
        <w:t xml:space="preserve">. </w:t>
      </w:r>
    </w:p>
    <w:p w:rsidR="004003AE" w:rsidRDefault="004003AE" w:rsidP="0097000A">
      <w:pPr>
        <w:pStyle w:val="SBS"/>
        <w:rPr>
          <w:rFonts w:ascii="Times New Roman" w:hAnsi="Times New Roman"/>
        </w:rPr>
        <w:sectPr w:rsidR="004003AE" w:rsidSect="004003AE">
          <w:headerReference w:type="even" r:id="rId128"/>
          <w:headerReference w:type="default" r:id="rId129"/>
          <w:footerReference w:type="default" r:id="rId130"/>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466446" w:rsidRDefault="00466446"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AC71AC" w:rsidRDefault="00852557" w:rsidP="0008391D">
      <w:pPr>
        <w:pStyle w:val="Ttulo4"/>
        <w:keepNext w:val="0"/>
        <w:numPr>
          <w:ilvl w:val="0"/>
          <w:numId w:val="2"/>
        </w:numPr>
        <w:tabs>
          <w:tab w:val="clear" w:pos="-1099"/>
        </w:tabs>
        <w:jc w:val="left"/>
      </w:pPr>
      <w:r w:rsidRPr="00AC71AC">
        <w:lastRenderedPageBreak/>
        <w:t>MONEDA Y CRÉDITO</w:t>
      </w:r>
    </w:p>
    <w:p w:rsidR="00852557" w:rsidRPr="00807AEC" w:rsidRDefault="00852557" w:rsidP="00253F18">
      <w:pPr>
        <w:pStyle w:val="Encabezado"/>
      </w:pPr>
    </w:p>
    <w:p w:rsidR="00852557" w:rsidRPr="0008391D" w:rsidRDefault="00852557" w:rsidP="0008391D">
      <w:pPr>
        <w:rPr>
          <w:b/>
        </w:rPr>
      </w:pPr>
      <w:r w:rsidRPr="00807AEC">
        <w:rPr>
          <w:b/>
        </w:rPr>
        <w:t>5.1.</w:t>
      </w:r>
      <w:r w:rsidRPr="00807AEC">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31"/>
          <w:headerReference w:type="default" r:id="rId132"/>
          <w:footerReference w:type="even" r:id="rId133"/>
          <w:footerReference w:type="default" r:id="rId134"/>
          <w:headerReference w:type="first" r:id="rId135"/>
          <w:footerReference w:type="first" r:id="rId136"/>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6D3939" w:rsidRDefault="006D3939" w:rsidP="006D3939">
      <w:pPr>
        <w:pStyle w:val="SBS"/>
        <w:rPr>
          <w:rFonts w:ascii="Times New Roman" w:hAnsi="Times New Roman"/>
        </w:rPr>
      </w:pPr>
      <w:r>
        <w:rPr>
          <w:rFonts w:ascii="Times New Roman" w:hAnsi="Times New Roman"/>
        </w:rPr>
        <w:lastRenderedPageBreak/>
        <w:t xml:space="preserve">En noviembre, el saldo de depósitos en el sistema financiero alcanzó los S/.2 474,4 millones, lo que implicó un incremento interanual del 14,3 por ciento. Esto respondió a la expansión en las captaciones de las empresas bancarias (14,7 por ciento) y de las instituciones de microfinanzas (13,8 por ciento). </w:t>
      </w:r>
    </w:p>
    <w:p w:rsidR="006D3939" w:rsidRDefault="006D3939" w:rsidP="006D3939">
      <w:pPr>
        <w:pStyle w:val="SBS"/>
        <w:rPr>
          <w:rFonts w:ascii="Times New Roman" w:hAnsi="Times New Roman"/>
        </w:rPr>
      </w:pPr>
      <w:r>
        <w:rPr>
          <w:rFonts w:ascii="Times New Roman" w:hAnsi="Times New Roman"/>
        </w:rPr>
        <w:lastRenderedPageBreak/>
        <w:t>Los depósitos en moneda nacional representaron el 67,9 por ciento del total y registraron un incremento interanual del 15,1 por ciento, mientras que las captaciones en moneda extranjera se expandieron en 12,6 por ciento.</w:t>
      </w:r>
    </w:p>
    <w:p w:rsidR="00664D7C" w:rsidRDefault="00664D7C" w:rsidP="009A0ADB">
      <w:pPr>
        <w:pStyle w:val="SBS"/>
        <w:rPr>
          <w:rFonts w:ascii="Times New Roman" w:hAnsi="Times New Roman"/>
        </w:rPr>
        <w:sectPr w:rsidR="00664D7C" w:rsidSect="00BC255B">
          <w:type w:val="continuous"/>
          <w:pgSz w:w="11907" w:h="16840" w:code="9"/>
          <w:pgMar w:top="1531" w:right="1701" w:bottom="1531" w:left="1701" w:header="709" w:footer="709" w:gutter="0"/>
          <w:cols w:num="2" w:space="720"/>
          <w:docGrid w:linePitch="360"/>
        </w:sectPr>
      </w:pPr>
    </w:p>
    <w:p w:rsidR="007D32DE" w:rsidRDefault="007D32DE" w:rsidP="001308C6">
      <w:pPr>
        <w:pStyle w:val="SBS"/>
        <w:rPr>
          <w:rFonts w:ascii="Times New Roman" w:hAnsi="Times New Roman"/>
        </w:rPr>
        <w:sectPr w:rsidR="007D32DE" w:rsidSect="001D5F9A">
          <w:type w:val="continuous"/>
          <w:pgSz w:w="11907" w:h="16840" w:code="9"/>
          <w:pgMar w:top="1531" w:right="1701" w:bottom="1531" w:left="1701" w:header="709" w:footer="709" w:gutter="0"/>
          <w:cols w:num="2" w:space="720"/>
          <w:docGrid w:linePitch="360"/>
        </w:sectPr>
      </w:pPr>
    </w:p>
    <w:p w:rsidR="00852557" w:rsidRDefault="006D3939">
      <w:pPr>
        <w:pStyle w:val="Textoindependiente"/>
        <w:jc w:val="center"/>
        <w:rPr>
          <w:rFonts w:ascii="Times New Roman" w:hAnsi="Times New Roman"/>
          <w:color w:val="FF0000"/>
          <w:sz w:val="22"/>
          <w:lang w:val="es-ES_tradnl"/>
        </w:rPr>
        <w:sectPr w:rsidR="00852557">
          <w:headerReference w:type="default" r:id="rId137"/>
          <w:footerReference w:type="default" r:id="rId138"/>
          <w:type w:val="continuous"/>
          <w:pgSz w:w="11907" w:h="16840" w:code="9"/>
          <w:pgMar w:top="1531" w:right="1701" w:bottom="1531" w:left="1701" w:header="709" w:footer="709" w:gutter="0"/>
          <w:cols w:space="720"/>
          <w:docGrid w:linePitch="360"/>
        </w:sectPr>
      </w:pPr>
      <w:r w:rsidRPr="00DA408E">
        <w:rPr>
          <w:rFonts w:ascii="Times New Roman" w:hAnsi="Times New Roman"/>
          <w:color w:val="FF0000"/>
          <w:sz w:val="22"/>
          <w:lang w:val="es-ES_tradnl"/>
        </w:rPr>
        <w:object w:dxaOrig="5670" w:dyaOrig="4155">
          <v:shape id="_x0000_i1062" type="#_x0000_t75" style="width:283.5pt;height:207.75pt" o:ole="">
            <v:imagedata r:id="rId139" o:title=""/>
          </v:shape>
          <o:OLEObject Type="Embed" ProgID="Excel.Sheet.12" ShapeID="_x0000_i1062" DrawAspect="Content" ObjectID="_1420468546" r:id="rId140"/>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6D3939" w:rsidRDefault="006D3939" w:rsidP="006D3939">
      <w:pPr>
        <w:pStyle w:val="Textoindependiente"/>
        <w:rPr>
          <w:rFonts w:ascii="Times New Roman" w:hAnsi="Times New Roman"/>
          <w:sz w:val="22"/>
        </w:rPr>
      </w:pPr>
      <w:r>
        <w:rPr>
          <w:rFonts w:ascii="Times New Roman" w:hAnsi="Times New Roman"/>
          <w:sz w:val="22"/>
        </w:rPr>
        <w:lastRenderedPageBreak/>
        <w:t xml:space="preserve">Los depósitos a plazo registraron la mayor participación (48,8 por ciento) en la estructura de captaciones del sistema financiero, mostrando a su vez un </w:t>
      </w:r>
      <w:r>
        <w:rPr>
          <w:rFonts w:ascii="Times New Roman" w:hAnsi="Times New Roman"/>
          <w:sz w:val="22"/>
        </w:rPr>
        <w:lastRenderedPageBreak/>
        <w:t>crecimiento interanual del 14,0 por ciento. Sin embargo, la mayor expansión correspondió a los depósitos a la vista (24,9 por ciento).</w:t>
      </w: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852557">
      <w:pPr>
        <w:pStyle w:val="Textoindependiente"/>
        <w:jc w:val="center"/>
        <w:outlineLvl w:val="0"/>
        <w:rPr>
          <w:rFonts w:ascii="Times New Roman" w:hAnsi="Times New Roman"/>
          <w:color w:val="FF0000"/>
          <w:sz w:val="22"/>
        </w:rPr>
      </w:pPr>
    </w:p>
    <w:p w:rsidR="006D3939" w:rsidRDefault="006D3939">
      <w:pPr>
        <w:pStyle w:val="Textoindependiente"/>
        <w:jc w:val="center"/>
        <w:outlineLvl w:val="0"/>
        <w:rPr>
          <w:rFonts w:ascii="Times New Roman" w:hAnsi="Times New Roman"/>
          <w:color w:val="FF0000"/>
          <w:sz w:val="22"/>
        </w:rPr>
      </w:pPr>
      <w:r w:rsidRPr="00DA408E">
        <w:rPr>
          <w:rFonts w:ascii="Times New Roman" w:hAnsi="Times New Roman"/>
          <w:color w:val="FF0000"/>
          <w:sz w:val="22"/>
        </w:rPr>
        <w:object w:dxaOrig="5670" w:dyaOrig="3150">
          <v:shape id="_x0000_i1063" type="#_x0000_t75" style="width:283.5pt;height:157.5pt" o:ole="">
            <v:imagedata r:id="rId141" o:title=""/>
          </v:shape>
          <o:OLEObject Type="Embed" ProgID="Excel.Sheet.12" ShapeID="_x0000_i1063" DrawAspect="Content" ObjectID="_1420468547" r:id="rId142"/>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6D3939" w:rsidRDefault="006D3939" w:rsidP="006D3939">
      <w:pPr>
        <w:pStyle w:val="Textoindependiente"/>
        <w:outlineLvl w:val="0"/>
        <w:rPr>
          <w:rFonts w:ascii="Times New Roman" w:hAnsi="Times New Roman"/>
          <w:sz w:val="22"/>
        </w:rPr>
      </w:pPr>
      <w:r>
        <w:rPr>
          <w:rFonts w:ascii="Times New Roman" w:hAnsi="Times New Roman"/>
          <w:sz w:val="22"/>
        </w:rPr>
        <w:lastRenderedPageBreak/>
        <w:t xml:space="preserve">El Banco Crédito es la entidad que registró la mayor participación en el saldo total de depósitos (23,5 por ciento), seguido de la Caja Piura (21,3 por ciento) y del Banco </w:t>
      </w:r>
      <w:r>
        <w:rPr>
          <w:rFonts w:ascii="Times New Roman" w:hAnsi="Times New Roman"/>
          <w:sz w:val="22"/>
        </w:rPr>
        <w:lastRenderedPageBreak/>
        <w:t>Continental (14,2 por ciento). En conjunto, estas tres entidades dieron cuenta del 59,0 por ciento de las captaciones del sistema.</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6D3939">
      <w:pPr>
        <w:pStyle w:val="Textoindependiente"/>
        <w:jc w:val="center"/>
        <w:rPr>
          <w:rFonts w:ascii="Times New Roman" w:hAnsi="Times New Roman"/>
          <w:sz w:val="22"/>
        </w:rPr>
      </w:pPr>
      <w:r w:rsidRPr="00DA408E">
        <w:rPr>
          <w:rFonts w:ascii="Times New Roman" w:hAnsi="Times New Roman"/>
          <w:sz w:val="22"/>
        </w:rPr>
        <w:object w:dxaOrig="5670" w:dyaOrig="7185">
          <v:shape id="_x0000_i1064" type="#_x0000_t75" style="width:283.5pt;height:337.5pt" o:ole="">
            <v:imagedata r:id="rId143" o:title=""/>
          </v:shape>
          <o:OLEObject Type="Embed" ProgID="Excel.Sheet.12" ShapeID="_x0000_i1064" DrawAspect="Content" ObjectID="_1420468548" r:id="rId144"/>
        </w:object>
      </w:r>
    </w:p>
    <w:p w:rsidR="009A7C2F" w:rsidRDefault="009A7C2F" w:rsidP="00962658">
      <w:pPr>
        <w:pStyle w:val="Textoindependiente"/>
        <w:rPr>
          <w:rFonts w:ascii="Times New Roman" w:hAnsi="Times New Roman"/>
          <w:sz w:val="22"/>
        </w:rPr>
      </w:pPr>
    </w:p>
    <w:p w:rsidR="00CA42A6" w:rsidRDefault="00CA42A6">
      <w:pPr>
        <w:pStyle w:val="Textoindependiente"/>
        <w:jc w:val="center"/>
        <w:rPr>
          <w:rFonts w:ascii="Times New Roman" w:hAnsi="Times New Roman"/>
          <w:sz w:val="22"/>
        </w:rPr>
        <w:sectPr w:rsidR="00CA42A6">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807AEC">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6D3939" w:rsidRDefault="006D3939" w:rsidP="006D3939">
      <w:pPr>
        <w:pStyle w:val="Piedepgina"/>
        <w:tabs>
          <w:tab w:val="clear" w:pos="4419"/>
          <w:tab w:val="clear" w:pos="8838"/>
        </w:tabs>
        <w:outlineLvl w:val="0"/>
        <w:rPr>
          <w:sz w:val="22"/>
          <w:lang w:val="es-ES_tradnl"/>
        </w:rPr>
      </w:pPr>
      <w:r>
        <w:rPr>
          <w:sz w:val="22"/>
        </w:rPr>
        <w:lastRenderedPageBreak/>
        <w:t xml:space="preserve">En noviembre, el </w:t>
      </w:r>
      <w:r>
        <w:rPr>
          <w:sz w:val="22"/>
          <w:lang w:val="es-ES_tradnl"/>
        </w:rPr>
        <w:t xml:space="preserve">saldo de créditos bordeó los S/. 4 734,9 millones, denotando un incremento de 13,1 por ciento respecto del mismo mes del año anterior.  Esto respondió a la expansión en las colocaciones de las empresas bancarias (16,4 por ciento) y entidades de </w:t>
      </w:r>
      <w:r>
        <w:rPr>
          <w:sz w:val="22"/>
          <w:lang w:val="es-ES_tradnl"/>
        </w:rPr>
        <w:br w:type="column"/>
      </w:r>
      <w:r>
        <w:rPr>
          <w:sz w:val="22"/>
          <w:lang w:val="es-ES_tradnl"/>
        </w:rPr>
        <w:lastRenderedPageBreak/>
        <w:t xml:space="preserve">microcrédito (7,1 por ciento).   </w:t>
      </w:r>
    </w:p>
    <w:p w:rsidR="006D3939" w:rsidRDefault="006D3939" w:rsidP="006D3939">
      <w:pPr>
        <w:pStyle w:val="Piedepgina"/>
        <w:tabs>
          <w:tab w:val="clear" w:pos="4419"/>
          <w:tab w:val="clear" w:pos="8838"/>
        </w:tabs>
        <w:outlineLvl w:val="0"/>
        <w:rPr>
          <w:sz w:val="22"/>
          <w:lang w:val="es-ES_tradnl"/>
        </w:rPr>
      </w:pPr>
    </w:p>
    <w:p w:rsidR="00CA42A6" w:rsidRDefault="006D3939" w:rsidP="006D3939">
      <w:pPr>
        <w:pStyle w:val="Piedepgina"/>
        <w:tabs>
          <w:tab w:val="clear" w:pos="4419"/>
          <w:tab w:val="clear" w:pos="8838"/>
        </w:tabs>
        <w:outlineLvl w:val="0"/>
        <w:rPr>
          <w:sz w:val="22"/>
          <w:lang w:val="es-ES_tradnl"/>
        </w:rPr>
      </w:pPr>
      <w:r>
        <w:rPr>
          <w:sz w:val="22"/>
          <w:lang w:val="es-ES_tradnl"/>
        </w:rPr>
        <w:t>El saldo  de  colocaciones   en    moneda nacional representó el 78,0 por ciento del total y mostró una expansión interanual del 15,3 por ciento, en tanto que el crédito en moneda extranjera creció en 5,7 por ciento.</w:t>
      </w:r>
    </w:p>
    <w:p w:rsidR="006D3939" w:rsidRDefault="006D3939" w:rsidP="006D3939">
      <w:pPr>
        <w:pStyle w:val="Piedepgina"/>
        <w:tabs>
          <w:tab w:val="clear" w:pos="4419"/>
          <w:tab w:val="clear" w:pos="8838"/>
        </w:tabs>
        <w:outlineLvl w:val="0"/>
        <w:rPr>
          <w:sz w:val="22"/>
          <w:lang w:val="es-ES_tradnl"/>
        </w:rPr>
      </w:pPr>
    </w:p>
    <w:p w:rsidR="00CA42A6" w:rsidRDefault="00CA42A6" w:rsidP="001D5F9A">
      <w:pPr>
        <w:pStyle w:val="Piedepgina"/>
        <w:tabs>
          <w:tab w:val="clear" w:pos="4419"/>
          <w:tab w:val="clear" w:pos="8838"/>
        </w:tabs>
        <w:outlineLvl w:val="0"/>
        <w:rPr>
          <w:sz w:val="22"/>
        </w:rPr>
        <w:sectPr w:rsidR="00CA42A6" w:rsidSect="006A54C0">
          <w:type w:val="continuous"/>
          <w:pgSz w:w="11907" w:h="16840"/>
          <w:pgMar w:top="1418" w:right="1701" w:bottom="1418" w:left="1701" w:header="720" w:footer="720" w:gutter="0"/>
          <w:cols w:num="2" w:space="720"/>
        </w:sectPr>
      </w:pPr>
    </w:p>
    <w:p w:rsidR="006A54C0" w:rsidRDefault="00CE7ABC" w:rsidP="00AC3F0F">
      <w:pPr>
        <w:pStyle w:val="Piedepgina"/>
        <w:tabs>
          <w:tab w:val="clear" w:pos="4419"/>
          <w:tab w:val="clear" w:pos="8838"/>
        </w:tabs>
        <w:jc w:val="center"/>
        <w:outlineLvl w:val="0"/>
        <w:rPr>
          <w:sz w:val="22"/>
        </w:rPr>
      </w:pPr>
      <w:r>
        <w:rPr>
          <w:noProof/>
          <w:sz w:val="22"/>
          <w:lang w:val="es-PE" w:eastAsia="es-PE"/>
        </w:rPr>
        <w:lastRenderedPageBreak/>
        <w:pict>
          <v:shape id="_x0000_s409756" type="#_x0000_t75" style="position:absolute;left:0;text-align:left;margin-left:62.65pt;margin-top:3.6pt;width:282.95pt;height:218.15pt;z-index:251801088">
            <v:imagedata r:id="rId145" o:title=""/>
            <w10:wrap type="square"/>
          </v:shape>
          <o:OLEObject Type="Embed" ProgID="Excel.Sheet.12" ShapeID="_x0000_s409756" DrawAspect="Content" ObjectID="_1420468558" r:id="rId146"/>
        </w:pict>
      </w: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EC6528" w:rsidRDefault="00EC6528"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sectPr w:rsidR="006D3939" w:rsidSect="00B225F2">
          <w:type w:val="continuous"/>
          <w:pgSz w:w="11907" w:h="16840"/>
          <w:pgMar w:top="1418" w:right="1701" w:bottom="1418" w:left="1701" w:header="720" w:footer="720" w:gutter="0"/>
          <w:cols w:num="2" w:space="720"/>
        </w:sectPr>
      </w:pPr>
    </w:p>
    <w:p w:rsidR="006D3939" w:rsidRDefault="006D3939" w:rsidP="006D3939">
      <w:pPr>
        <w:pStyle w:val="Piedepgina"/>
        <w:tabs>
          <w:tab w:val="clear" w:pos="4419"/>
          <w:tab w:val="clear" w:pos="8838"/>
        </w:tabs>
        <w:outlineLvl w:val="0"/>
        <w:rPr>
          <w:sz w:val="22"/>
        </w:rPr>
      </w:pPr>
      <w:r>
        <w:rPr>
          <w:sz w:val="22"/>
        </w:rPr>
        <w:lastRenderedPageBreak/>
        <w:t xml:space="preserve">El Banco de Crédito mostró la mayor participación (20,2 por ciento) en el saldo total colocado, secundado por el Banco Continental (19,3 por ciento) y la Caja Municipal de Sullana (9,9 por ciento). Estas </w:t>
      </w:r>
      <w:r>
        <w:rPr>
          <w:sz w:val="22"/>
        </w:rPr>
        <w:lastRenderedPageBreak/>
        <w:t>tres entidades representaron, conjuntamente, el 49,4 por ciento de las colocaciones del sistema financiero en Piura.</w:t>
      </w:r>
    </w:p>
    <w:p w:rsidR="006B253D" w:rsidRDefault="006B253D" w:rsidP="001317A0">
      <w:pPr>
        <w:pStyle w:val="Piedepgina"/>
        <w:tabs>
          <w:tab w:val="clear" w:pos="4419"/>
          <w:tab w:val="clear" w:pos="8838"/>
        </w:tabs>
        <w:outlineLvl w:val="0"/>
        <w:rPr>
          <w:sz w:val="22"/>
        </w:rPr>
        <w:sectPr w:rsidR="006B253D" w:rsidSect="006B253D">
          <w:type w:val="continuous"/>
          <w:pgSz w:w="11907" w:h="16840"/>
          <w:pgMar w:top="1418" w:right="1701" w:bottom="1418" w:left="1701" w:header="720" w:footer="720" w:gutter="0"/>
          <w:cols w:num="2" w:space="720"/>
        </w:sectPr>
      </w:pPr>
    </w:p>
    <w:p w:rsidR="001317A0" w:rsidRDefault="001317A0" w:rsidP="001317A0">
      <w:pPr>
        <w:pStyle w:val="Piedepgina"/>
        <w:tabs>
          <w:tab w:val="clear" w:pos="4419"/>
          <w:tab w:val="clear" w:pos="8838"/>
        </w:tabs>
        <w:outlineLvl w:val="0"/>
        <w:rPr>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6D3939">
      <w:pPr>
        <w:pStyle w:val="Piedepgina"/>
        <w:tabs>
          <w:tab w:val="clear" w:pos="4419"/>
          <w:tab w:val="clear" w:pos="8838"/>
        </w:tabs>
        <w:jc w:val="center"/>
        <w:outlineLvl w:val="0"/>
        <w:rPr>
          <w:color w:val="FF0000"/>
          <w:sz w:val="22"/>
        </w:rPr>
      </w:pPr>
      <w:r w:rsidRPr="00DA408E">
        <w:rPr>
          <w:color w:val="FF0000"/>
          <w:sz w:val="22"/>
        </w:rPr>
        <w:object w:dxaOrig="5982" w:dyaOrig="8744">
          <v:shape id="_x0000_i1065" type="#_x0000_t75" style="width:283.5pt;height:361.5pt" o:ole="">
            <v:imagedata r:id="rId147" o:title=""/>
          </v:shape>
          <o:OLEObject Type="Embed" ProgID="Excel.Sheet.12" ShapeID="_x0000_i1065" DrawAspect="Content" ObjectID="_1420468549" r:id="rId148"/>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E641D" w:rsidRDefault="006D3939" w:rsidP="001E641D">
      <w:pPr>
        <w:pStyle w:val="Textoindependiente"/>
        <w:rPr>
          <w:rFonts w:ascii="Times New Roman" w:hAnsi="Times New Roman"/>
          <w:sz w:val="22"/>
          <w:szCs w:val="22"/>
        </w:rPr>
      </w:pPr>
      <w:r>
        <w:rPr>
          <w:rFonts w:ascii="Times New Roman" w:hAnsi="Times New Roman"/>
          <w:sz w:val="22"/>
          <w:szCs w:val="22"/>
        </w:rPr>
        <w:lastRenderedPageBreak/>
        <w:t>En noviembre, el saldo de créditos superó al de depósitos en S/.2 260,5 millones; lo que equivalió al 91,4 por ciento más.</w:t>
      </w:r>
      <w:r w:rsidR="001E641D">
        <w:rPr>
          <w:rFonts w:ascii="Times New Roman" w:hAnsi="Times New Roman"/>
          <w:sz w:val="22"/>
          <w:szCs w:val="22"/>
          <w:highlight w:val="yellow"/>
        </w:rPr>
        <w:br w:type="column"/>
      </w:r>
      <w:r w:rsidR="001E641D" w:rsidRPr="004758D9">
        <w:rPr>
          <w:rFonts w:ascii="Times New Roman" w:hAnsi="Times New Roman"/>
          <w:sz w:val="22"/>
          <w:szCs w:val="22"/>
        </w:rPr>
        <w:lastRenderedPageBreak/>
        <w:t>Por tipo de crédito</w:t>
      </w:r>
      <w:r w:rsidR="001E641D" w:rsidRPr="00921616">
        <w:rPr>
          <w:rFonts w:ascii="Times New Roman" w:hAnsi="Times New Roman"/>
          <w:sz w:val="22"/>
          <w:szCs w:val="22"/>
        </w:rPr>
        <w:t>,</w:t>
      </w:r>
      <w:r w:rsidR="001E641D" w:rsidRPr="00B91ED2">
        <w:rPr>
          <w:rFonts w:ascii="Times New Roman" w:hAnsi="Times New Roman"/>
          <w:sz w:val="22"/>
          <w:szCs w:val="22"/>
        </w:rPr>
        <w:t xml:space="preserve"> </w:t>
      </w:r>
      <w:r w:rsidR="001E641D">
        <w:rPr>
          <w:rFonts w:ascii="Times New Roman" w:hAnsi="Times New Roman"/>
          <w:sz w:val="22"/>
          <w:szCs w:val="22"/>
        </w:rPr>
        <w:t>destaca</w:t>
      </w:r>
      <w:r w:rsidR="004758D9">
        <w:rPr>
          <w:rFonts w:ascii="Times New Roman" w:hAnsi="Times New Roman"/>
          <w:sz w:val="22"/>
          <w:szCs w:val="22"/>
        </w:rPr>
        <w:t>ro</w:t>
      </w:r>
      <w:r w:rsidR="001E641D">
        <w:rPr>
          <w:rFonts w:ascii="Times New Roman" w:hAnsi="Times New Roman"/>
          <w:sz w:val="22"/>
          <w:szCs w:val="22"/>
        </w:rPr>
        <w:t>n los de consumo</w:t>
      </w:r>
      <w:r w:rsidR="00921616">
        <w:rPr>
          <w:rFonts w:ascii="Times New Roman" w:hAnsi="Times New Roman"/>
          <w:sz w:val="22"/>
          <w:szCs w:val="22"/>
        </w:rPr>
        <w:t xml:space="preserve"> (3</w:t>
      </w:r>
      <w:r w:rsidR="004758D9">
        <w:rPr>
          <w:rFonts w:ascii="Times New Roman" w:hAnsi="Times New Roman"/>
          <w:sz w:val="22"/>
          <w:szCs w:val="22"/>
        </w:rPr>
        <w:t>4</w:t>
      </w:r>
      <w:r w:rsidR="00921616">
        <w:rPr>
          <w:rFonts w:ascii="Times New Roman" w:hAnsi="Times New Roman"/>
          <w:sz w:val="22"/>
          <w:szCs w:val="22"/>
        </w:rPr>
        <w:t>,</w:t>
      </w:r>
      <w:r w:rsidR="004758D9">
        <w:rPr>
          <w:rFonts w:ascii="Times New Roman" w:hAnsi="Times New Roman"/>
          <w:sz w:val="22"/>
          <w:szCs w:val="22"/>
        </w:rPr>
        <w:t>2</w:t>
      </w:r>
      <w:r w:rsidR="00921616">
        <w:rPr>
          <w:rFonts w:ascii="Times New Roman" w:hAnsi="Times New Roman"/>
          <w:sz w:val="22"/>
          <w:szCs w:val="22"/>
        </w:rPr>
        <w:t xml:space="preserve"> por ciento del total), </w:t>
      </w:r>
      <w:r w:rsidR="004758D9">
        <w:rPr>
          <w:rFonts w:ascii="Times New Roman" w:hAnsi="Times New Roman"/>
          <w:sz w:val="22"/>
          <w:szCs w:val="22"/>
        </w:rPr>
        <w:t xml:space="preserve">que </w:t>
      </w:r>
      <w:r w:rsidR="00921616">
        <w:rPr>
          <w:rFonts w:ascii="Times New Roman" w:hAnsi="Times New Roman"/>
          <w:sz w:val="22"/>
          <w:szCs w:val="22"/>
        </w:rPr>
        <w:t xml:space="preserve">registraron </w:t>
      </w:r>
      <w:r w:rsidR="004758D9">
        <w:rPr>
          <w:rFonts w:ascii="Times New Roman" w:hAnsi="Times New Roman"/>
          <w:sz w:val="22"/>
          <w:szCs w:val="22"/>
        </w:rPr>
        <w:t xml:space="preserve">un </w:t>
      </w:r>
      <w:r w:rsidR="00921616">
        <w:rPr>
          <w:rFonts w:ascii="Times New Roman" w:hAnsi="Times New Roman"/>
          <w:sz w:val="22"/>
          <w:szCs w:val="22"/>
        </w:rPr>
        <w:t xml:space="preserve">crecimiento interanual </w:t>
      </w:r>
      <w:r w:rsidR="004758D9">
        <w:rPr>
          <w:rFonts w:ascii="Times New Roman" w:hAnsi="Times New Roman"/>
          <w:sz w:val="22"/>
          <w:szCs w:val="22"/>
        </w:rPr>
        <w:t>de 34</w:t>
      </w:r>
      <w:r w:rsidR="00921616">
        <w:rPr>
          <w:rFonts w:ascii="Times New Roman" w:hAnsi="Times New Roman"/>
          <w:sz w:val="22"/>
          <w:szCs w:val="22"/>
        </w:rPr>
        <w:t>,</w:t>
      </w:r>
      <w:r w:rsidR="004758D9">
        <w:rPr>
          <w:rFonts w:ascii="Times New Roman" w:hAnsi="Times New Roman"/>
          <w:sz w:val="22"/>
          <w:szCs w:val="22"/>
        </w:rPr>
        <w:t>9</w:t>
      </w:r>
      <w:r w:rsidR="00921616">
        <w:rPr>
          <w:rFonts w:ascii="Times New Roman" w:hAnsi="Times New Roman"/>
          <w:sz w:val="22"/>
          <w:szCs w:val="22"/>
        </w:rPr>
        <w:t xml:space="preserve"> por ciento.</w:t>
      </w:r>
    </w:p>
    <w:p w:rsidR="00A6466F" w:rsidRDefault="00A6466F" w:rsidP="001E641D">
      <w:pPr>
        <w:pStyle w:val="Textoindependiente"/>
        <w:rPr>
          <w:rFonts w:ascii="Times New Roman" w:hAnsi="Times New Roman"/>
          <w:sz w:val="22"/>
          <w:szCs w:val="22"/>
        </w:rPr>
      </w:pPr>
    </w:p>
    <w:p w:rsidR="00A6466F" w:rsidRDefault="00A6466F" w:rsidP="001E641D">
      <w:pPr>
        <w:pStyle w:val="Textoindependiente"/>
        <w:rPr>
          <w:rFonts w:ascii="Times New Roman" w:hAnsi="Times New Roman"/>
          <w:sz w:val="22"/>
          <w:szCs w:val="22"/>
        </w:rPr>
        <w:sectPr w:rsidR="00A6466F" w:rsidSect="007B2C84">
          <w:type w:val="continuous"/>
          <w:pgSz w:w="11907" w:h="16840"/>
          <w:pgMar w:top="1418" w:right="1701" w:bottom="1418" w:left="1701" w:header="720" w:footer="720" w:gutter="0"/>
          <w:cols w:num="2" w:space="720"/>
        </w:sectPr>
      </w:pPr>
    </w:p>
    <w:p w:rsidR="009D31BD" w:rsidRDefault="004758D9" w:rsidP="00CA42A6">
      <w:pPr>
        <w:pStyle w:val="Textoindependiente"/>
        <w:jc w:val="center"/>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r w:rsidRPr="00A0323C">
        <w:rPr>
          <w:noProof/>
          <w:szCs w:val="22"/>
          <w:lang w:val="es-PE" w:eastAsia="es-PE"/>
        </w:rPr>
        <w:object w:dxaOrig="7062" w:dyaOrig="4302">
          <v:shape id="_x0000_i1066" type="#_x0000_t75" style="width:336pt;height:184.5pt" o:ole="">
            <v:imagedata r:id="rId149" o:title=""/>
          </v:shape>
          <o:OLEObject Type="Embed" ProgID="Excel.Sheet.8" ShapeID="_x0000_i1066" DrawAspect="Content" ObjectID="_1420468550" r:id="rId150"/>
        </w:object>
      </w:r>
    </w:p>
    <w:p w:rsidR="006D3939" w:rsidRDefault="006D3939" w:rsidP="006D3939">
      <w:pPr>
        <w:pStyle w:val="Textoindependiente"/>
        <w:rPr>
          <w:rFonts w:ascii="Times New Roman" w:hAnsi="Times New Roman"/>
          <w:sz w:val="22"/>
          <w:szCs w:val="22"/>
        </w:rPr>
      </w:pPr>
      <w:r w:rsidRPr="008261B2">
        <w:rPr>
          <w:rFonts w:ascii="Times New Roman" w:hAnsi="Times New Roman"/>
          <w:sz w:val="22"/>
          <w:szCs w:val="22"/>
        </w:rPr>
        <w:lastRenderedPageBreak/>
        <w:t xml:space="preserve">En cuanto a </w:t>
      </w:r>
      <w:r w:rsidRPr="009B1EA7">
        <w:rPr>
          <w:rFonts w:ascii="Times New Roman" w:hAnsi="Times New Roman"/>
          <w:sz w:val="22"/>
          <w:szCs w:val="22"/>
        </w:rPr>
        <w:t>la cartera pesada,</w:t>
      </w:r>
      <w:r w:rsidRPr="008261B2">
        <w:rPr>
          <w:rFonts w:ascii="Times New Roman" w:hAnsi="Times New Roman"/>
          <w:sz w:val="22"/>
          <w:szCs w:val="22"/>
        </w:rPr>
        <w:t xml:space="preserve"> ésta se ubicó en 4,</w:t>
      </w:r>
      <w:r>
        <w:rPr>
          <w:rFonts w:ascii="Times New Roman" w:hAnsi="Times New Roman"/>
          <w:sz w:val="22"/>
          <w:szCs w:val="22"/>
        </w:rPr>
        <w:t>5</w:t>
      </w:r>
      <w:r w:rsidRPr="008261B2">
        <w:rPr>
          <w:rFonts w:ascii="Times New Roman" w:hAnsi="Times New Roman"/>
          <w:sz w:val="22"/>
          <w:szCs w:val="22"/>
        </w:rPr>
        <w:t xml:space="preserve"> por ciento, como porcentaje de las colocaciones brutas, resultando mayor</w:t>
      </w:r>
      <w:r>
        <w:rPr>
          <w:rFonts w:ascii="Times New Roman" w:hAnsi="Times New Roman"/>
          <w:sz w:val="22"/>
          <w:szCs w:val="22"/>
        </w:rPr>
        <w:t xml:space="preserve"> en 0,8 </w:t>
      </w:r>
      <w:r>
        <w:rPr>
          <w:rFonts w:ascii="Times New Roman" w:hAnsi="Times New Roman"/>
          <w:sz w:val="22"/>
          <w:szCs w:val="22"/>
        </w:rPr>
        <w:lastRenderedPageBreak/>
        <w:t>puntos porcentuales a la morosidad de noviembre del año anterior.</w:t>
      </w:r>
    </w:p>
    <w:p w:rsidR="006B253D" w:rsidRDefault="006B253D" w:rsidP="001308C6">
      <w:pPr>
        <w:pStyle w:val="Textoindependiente"/>
        <w:rPr>
          <w:rFonts w:ascii="Times New Roman" w:hAnsi="Times New Roman"/>
          <w:sz w:val="22"/>
          <w:szCs w:val="22"/>
        </w:rPr>
        <w:sectPr w:rsidR="006B253D" w:rsidSect="001308C6">
          <w:headerReference w:type="default" r:id="rId151"/>
          <w:footerReference w:type="default" r:id="rId152"/>
          <w:type w:val="continuous"/>
          <w:pgSz w:w="12240" w:h="15840"/>
          <w:pgMar w:top="1417" w:right="1701" w:bottom="1417" w:left="1701" w:header="708" w:footer="708" w:gutter="0"/>
          <w:cols w:num="2" w:space="709"/>
          <w:docGrid w:linePitch="360"/>
        </w:sectPr>
      </w:pPr>
    </w:p>
    <w:p w:rsidR="003217DC" w:rsidRDefault="003217DC" w:rsidP="00387758">
      <w:pPr>
        <w:pStyle w:val="Textoindependiente"/>
        <w:rPr>
          <w:rFonts w:ascii="Times New Roman" w:hAnsi="Times New Roman"/>
          <w:sz w:val="22"/>
          <w:szCs w:val="22"/>
        </w:rPr>
        <w:sectPr w:rsidR="003217DC" w:rsidSect="006F6758">
          <w:headerReference w:type="default" r:id="rId153"/>
          <w:footerReference w:type="default" r:id="rId154"/>
          <w:type w:val="continuous"/>
          <w:pgSz w:w="12240" w:h="15840"/>
          <w:pgMar w:top="1417" w:right="1701" w:bottom="1417" w:left="1701" w:header="708" w:footer="708" w:gutter="0"/>
          <w:cols w:num="2" w:space="709"/>
          <w:docGrid w:linePitch="360"/>
        </w:sectPr>
      </w:pPr>
    </w:p>
    <w:p w:rsidR="00234A64" w:rsidRDefault="009A7C2F" w:rsidP="00234A64">
      <w:pPr>
        <w:pStyle w:val="Piedepgina"/>
        <w:tabs>
          <w:tab w:val="clear" w:pos="4419"/>
          <w:tab w:val="clear" w:pos="8838"/>
        </w:tabs>
        <w:outlineLvl w:val="0"/>
        <w:rPr>
          <w:sz w:val="22"/>
          <w:szCs w:val="22"/>
        </w:rPr>
      </w:pPr>
      <w:r>
        <w:rPr>
          <w:sz w:val="22"/>
          <w:szCs w:val="22"/>
        </w:rPr>
        <w:lastRenderedPageBreak/>
        <w:t xml:space="preserve"> </w:t>
      </w: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headerReference w:type="default" r:id="rId155"/>
          <w:footerReference w:type="default" r:id="rId156"/>
          <w:type w:val="continuous"/>
          <w:pgSz w:w="12240" w:h="15840"/>
          <w:pgMar w:top="1417" w:right="1701" w:bottom="1417" w:left="1701" w:header="708" w:footer="708" w:gutter="0"/>
          <w:cols w:num="2" w:space="720"/>
          <w:docGrid w:linePitch="360"/>
        </w:sectPr>
      </w:pPr>
    </w:p>
    <w:p w:rsidR="00234A64" w:rsidRDefault="004758D9" w:rsidP="00C817CF">
      <w:pPr>
        <w:pStyle w:val="Textoindependiente"/>
        <w:ind w:left="1587"/>
        <w:rPr>
          <w:color w:val="FF0000"/>
          <w:sz w:val="22"/>
        </w:rPr>
        <w:sectPr w:rsidR="00234A64" w:rsidSect="00234A64">
          <w:type w:val="continuous"/>
          <w:pgSz w:w="12240" w:h="15840"/>
          <w:pgMar w:top="1417" w:right="1701" w:bottom="1417" w:left="1701" w:header="708" w:footer="708" w:gutter="0"/>
          <w:cols w:space="720"/>
          <w:docGrid w:linePitch="360"/>
        </w:sectPr>
      </w:pPr>
      <w:r w:rsidRPr="00DA408E">
        <w:rPr>
          <w:color w:val="FF0000"/>
          <w:sz w:val="22"/>
        </w:rPr>
        <w:object w:dxaOrig="5982" w:dyaOrig="4251">
          <v:shape id="_x0000_i1067" type="#_x0000_t75" style="width:282pt;height:200.25pt" o:ole="">
            <v:imagedata r:id="rId157" o:title=""/>
          </v:shape>
          <o:OLEObject Type="Embed" ProgID="Excel.Sheet.12" ShapeID="_x0000_i1067" DrawAspect="Content" ObjectID="_1420468551" r:id="rId158"/>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C25AF5">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6B253D" w:rsidRDefault="00C6475E" w:rsidP="00807AEC">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En </w:t>
      </w:r>
      <w:r w:rsidR="004758D9">
        <w:rPr>
          <w:rFonts w:ascii="Times New Roman" w:hAnsi="Times New Roman"/>
          <w:sz w:val="22"/>
          <w:szCs w:val="24"/>
          <w:lang w:val="es-ES"/>
        </w:rPr>
        <w:t>noviemb</w:t>
      </w:r>
      <w:r w:rsidR="00921616">
        <w:rPr>
          <w:rFonts w:ascii="Times New Roman" w:hAnsi="Times New Roman"/>
          <w:sz w:val="22"/>
          <w:szCs w:val="24"/>
          <w:lang w:val="es-ES"/>
        </w:rPr>
        <w:t>re</w:t>
      </w:r>
      <w:r>
        <w:rPr>
          <w:rFonts w:ascii="Times New Roman" w:hAnsi="Times New Roman"/>
          <w:sz w:val="22"/>
          <w:szCs w:val="24"/>
          <w:lang w:val="es-ES"/>
        </w:rPr>
        <w:t>, e</w:t>
      </w:r>
      <w:r w:rsidR="00807AEC">
        <w:rPr>
          <w:rFonts w:ascii="Times New Roman" w:hAnsi="Times New Roman"/>
          <w:sz w:val="22"/>
          <w:szCs w:val="24"/>
          <w:lang w:val="es-ES"/>
        </w:rPr>
        <w:t xml:space="preserve">l </w:t>
      </w:r>
      <w:r w:rsidR="00807AEC" w:rsidRPr="00C34F16">
        <w:rPr>
          <w:rFonts w:ascii="Times New Roman" w:hAnsi="Times New Roman"/>
          <w:sz w:val="22"/>
          <w:szCs w:val="24"/>
          <w:lang w:val="es-ES"/>
        </w:rPr>
        <w:t>crédito otorgado a la pequeña y microempresa bordeó</w:t>
      </w:r>
      <w:r w:rsidR="00807AEC">
        <w:rPr>
          <w:rFonts w:ascii="Times New Roman" w:hAnsi="Times New Roman"/>
          <w:sz w:val="22"/>
          <w:szCs w:val="24"/>
          <w:lang w:val="es-ES"/>
        </w:rPr>
        <w:t xml:space="preserve"> un saldo de S/.</w:t>
      </w:r>
      <w:r w:rsidR="00807AEC" w:rsidRPr="00C6475E">
        <w:rPr>
          <w:rFonts w:ascii="Times New Roman" w:hAnsi="Times New Roman"/>
          <w:sz w:val="22"/>
          <w:szCs w:val="24"/>
          <w:lang w:val="es-ES"/>
        </w:rPr>
        <w:t xml:space="preserve">1 </w:t>
      </w:r>
      <w:r w:rsidR="004758D9">
        <w:rPr>
          <w:rFonts w:ascii="Times New Roman" w:hAnsi="Times New Roman"/>
          <w:sz w:val="22"/>
          <w:szCs w:val="24"/>
          <w:lang w:val="es-ES"/>
        </w:rPr>
        <w:t>507</w:t>
      </w:r>
      <w:r w:rsidR="00807AEC" w:rsidRPr="00C6475E">
        <w:rPr>
          <w:rFonts w:ascii="Times New Roman" w:hAnsi="Times New Roman"/>
          <w:sz w:val="22"/>
          <w:szCs w:val="24"/>
          <w:lang w:val="es-ES"/>
        </w:rPr>
        <w:t>,</w:t>
      </w:r>
      <w:r w:rsidR="004758D9">
        <w:rPr>
          <w:rFonts w:ascii="Times New Roman" w:hAnsi="Times New Roman"/>
          <w:sz w:val="22"/>
          <w:szCs w:val="24"/>
          <w:lang w:val="es-ES"/>
        </w:rPr>
        <w:t>7</w:t>
      </w:r>
      <w:r w:rsidR="00807AEC">
        <w:rPr>
          <w:rFonts w:ascii="Times New Roman" w:hAnsi="Times New Roman"/>
          <w:sz w:val="22"/>
          <w:szCs w:val="24"/>
          <w:lang w:val="es-ES"/>
        </w:rPr>
        <w:t xml:space="preserve"> millones</w:t>
      </w:r>
      <w:r>
        <w:rPr>
          <w:rFonts w:ascii="Times New Roman" w:hAnsi="Times New Roman"/>
          <w:sz w:val="22"/>
          <w:szCs w:val="24"/>
          <w:lang w:val="es-ES"/>
        </w:rPr>
        <w:t>,</w:t>
      </w:r>
      <w:r w:rsidR="00807AEC">
        <w:rPr>
          <w:rFonts w:ascii="Times New Roman" w:hAnsi="Times New Roman"/>
          <w:sz w:val="22"/>
          <w:szCs w:val="24"/>
          <w:lang w:val="es-ES"/>
        </w:rPr>
        <w:t xml:space="preserve"> resultando mayor en </w:t>
      </w:r>
      <w:r w:rsidR="004758D9">
        <w:rPr>
          <w:rFonts w:ascii="Times New Roman" w:hAnsi="Times New Roman"/>
          <w:sz w:val="22"/>
          <w:szCs w:val="24"/>
          <w:lang w:val="es-ES"/>
        </w:rPr>
        <w:t>6</w:t>
      </w:r>
      <w:r w:rsidR="00807AEC">
        <w:rPr>
          <w:rFonts w:ascii="Times New Roman" w:hAnsi="Times New Roman"/>
          <w:sz w:val="22"/>
          <w:szCs w:val="24"/>
          <w:lang w:val="es-ES"/>
        </w:rPr>
        <w:t>,</w:t>
      </w:r>
      <w:r w:rsidR="004758D9">
        <w:rPr>
          <w:rFonts w:ascii="Times New Roman" w:hAnsi="Times New Roman"/>
          <w:sz w:val="22"/>
          <w:szCs w:val="24"/>
          <w:lang w:val="es-ES"/>
        </w:rPr>
        <w:t>1</w:t>
      </w:r>
      <w:r w:rsidR="00807AEC">
        <w:rPr>
          <w:rFonts w:ascii="Times New Roman" w:hAnsi="Times New Roman"/>
          <w:sz w:val="22"/>
          <w:szCs w:val="24"/>
          <w:lang w:val="es-ES"/>
        </w:rPr>
        <w:t xml:space="preserve"> por ciento al registrado en el mismo mes del </w:t>
      </w:r>
      <w:r w:rsidR="00807AEC">
        <w:rPr>
          <w:rFonts w:ascii="Times New Roman" w:hAnsi="Times New Roman"/>
          <w:sz w:val="22"/>
          <w:szCs w:val="24"/>
          <w:lang w:val="es-ES"/>
        </w:rPr>
        <w:lastRenderedPageBreak/>
        <w:t>2011. La  mayor participación  en  este  segmento</w:t>
      </w:r>
      <w:r w:rsidR="00A243E1">
        <w:rPr>
          <w:rFonts w:ascii="Times New Roman" w:hAnsi="Times New Roman"/>
          <w:sz w:val="22"/>
          <w:szCs w:val="24"/>
          <w:lang w:val="es-ES"/>
        </w:rPr>
        <w:t xml:space="preserve"> </w:t>
      </w:r>
      <w:r w:rsidR="00807AEC">
        <w:rPr>
          <w:rFonts w:ascii="Times New Roman" w:hAnsi="Times New Roman"/>
          <w:sz w:val="22"/>
          <w:szCs w:val="24"/>
          <w:lang w:val="es-ES"/>
        </w:rPr>
        <w:t>crediticio, correspond</w:t>
      </w:r>
      <w:r>
        <w:rPr>
          <w:rFonts w:ascii="Times New Roman" w:hAnsi="Times New Roman"/>
          <w:sz w:val="22"/>
          <w:szCs w:val="24"/>
          <w:lang w:val="es-ES"/>
        </w:rPr>
        <w:t>ió</w:t>
      </w:r>
      <w:r w:rsidR="00807AEC">
        <w:rPr>
          <w:rFonts w:ascii="Times New Roman" w:hAnsi="Times New Roman"/>
          <w:sz w:val="22"/>
          <w:szCs w:val="24"/>
          <w:lang w:val="es-ES"/>
        </w:rPr>
        <w:t xml:space="preserve"> a las cajas municipales</w:t>
      </w:r>
      <w:r>
        <w:rPr>
          <w:rFonts w:ascii="Times New Roman" w:hAnsi="Times New Roman"/>
          <w:sz w:val="22"/>
          <w:szCs w:val="24"/>
          <w:lang w:val="es-ES"/>
        </w:rPr>
        <w:t xml:space="preserve">, seguidas de las empresas bancarias. </w:t>
      </w:r>
    </w:p>
    <w:p w:rsidR="003217DC" w:rsidRDefault="003217DC" w:rsidP="0068371C">
      <w:pPr>
        <w:pStyle w:val="Textoindependiente"/>
        <w:rPr>
          <w:rFonts w:ascii="Times New Roman" w:hAnsi="Times New Roman"/>
          <w:sz w:val="22"/>
          <w:szCs w:val="24"/>
          <w:lang w:val="es-ES"/>
        </w:rPr>
        <w:sectPr w:rsidR="003217DC" w:rsidSect="00027A05">
          <w:type w:val="continuous"/>
          <w:pgSz w:w="12240" w:h="15840"/>
          <w:pgMar w:top="1417" w:right="1701" w:bottom="1417" w:left="1701" w:header="708" w:footer="708" w:gutter="0"/>
          <w:cols w:num="2" w:space="720"/>
          <w:docGrid w:linePitch="360"/>
        </w:sectPr>
      </w:pPr>
    </w:p>
    <w:p w:rsidR="006A54C0" w:rsidRDefault="006A54C0" w:rsidP="006A54C0">
      <w:pPr>
        <w:pStyle w:val="Textoindependiente"/>
        <w:rPr>
          <w:rFonts w:ascii="Times New Roman" w:hAnsi="Times New Roman"/>
          <w:sz w:val="22"/>
          <w:szCs w:val="24"/>
          <w:lang w:val="es-ES"/>
        </w:rPr>
        <w:sectPr w:rsidR="006A54C0" w:rsidSect="00F35EBE">
          <w:type w:val="continuous"/>
          <w:pgSz w:w="12240" w:h="15840"/>
          <w:pgMar w:top="1417" w:right="1701" w:bottom="1417" w:left="1701" w:header="708" w:footer="708" w:gutter="0"/>
          <w:cols w:num="2" w:space="720"/>
          <w:docGrid w:linePitch="360"/>
        </w:sectPr>
      </w:pPr>
    </w:p>
    <w:p w:rsidR="00A02526" w:rsidRDefault="00F771D3"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C25AF5" w:rsidP="00A02526">
      <w:pPr>
        <w:pStyle w:val="Textoindependiente"/>
        <w:jc w:val="center"/>
        <w:rPr>
          <w:color w:val="FF0000"/>
          <w:sz w:val="22"/>
        </w:rPr>
      </w:pPr>
      <w:r w:rsidRPr="00A0323C">
        <w:rPr>
          <w:noProof/>
          <w:lang w:val="es-PE" w:eastAsia="es-PE"/>
        </w:rPr>
        <w:object w:dxaOrig="5835" w:dyaOrig="4086">
          <v:shape id="_x0000_i1068" type="#_x0000_t75" style="width:279pt;height:195.75pt" o:ole="">
            <v:imagedata r:id="rId159" o:title=""/>
          </v:shape>
          <o:OLEObject Type="Embed" ProgID="Excel.Sheet.8" ShapeID="_x0000_i1068" DrawAspect="Content" ObjectID="_1420468552" r:id="rId160"/>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w:t>
      </w:r>
      <w:r w:rsidRPr="008C05B2">
        <w:rPr>
          <w:b/>
          <w:sz w:val="28"/>
          <w:szCs w:val="28"/>
          <w:lang w:val="es-MX"/>
        </w:rPr>
        <w:t>CI</w:t>
      </w:r>
      <w:r w:rsidRPr="00323202">
        <w:rPr>
          <w:b/>
          <w:sz w:val="28"/>
          <w:szCs w:val="28"/>
          <w:lang w:val="es-MX"/>
        </w:rPr>
        <w:t>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61"/>
          <w:footerReference w:type="default" r:id="rId162"/>
          <w:pgSz w:w="12240" w:h="15840"/>
          <w:pgMar w:top="1417" w:right="1701" w:bottom="1417" w:left="1701" w:header="708" w:footer="708" w:gutter="0"/>
          <w:cols w:space="708"/>
          <w:vAlign w:val="both"/>
          <w:docGrid w:linePitch="360"/>
        </w:sectPr>
      </w:pPr>
    </w:p>
    <w:p w:rsidR="002873D0" w:rsidRDefault="00CE7ABC" w:rsidP="00C2611B">
      <w:pPr>
        <w:rPr>
          <w:noProof/>
          <w:lang w:val="es-PE" w:eastAsia="es-PE"/>
        </w:rPr>
      </w:pPr>
      <w:r>
        <w:rPr>
          <w:noProof/>
          <w:lang w:val="es-PE" w:eastAsia="es-PE"/>
        </w:rPr>
        <w:lastRenderedPageBreak/>
        <w:pict>
          <v:shape id="_x0000_s1164" type="#_x0000_t202" style="position:absolute;left:0;text-align:left;margin-left:-3.8pt;margin-top:-35.45pt;width:66.45pt;height:18.05pt;z-index:251657728;mso-width-relative:margin;mso-height-relative:margin" stroked="f">
            <v:textbox style="mso-next-textbox:#_x0000_s1164">
              <w:txbxContent>
                <w:p w:rsidR="006913BD" w:rsidRDefault="006913BD">
                  <w:pPr>
                    <w:rPr>
                      <w:b/>
                      <w:sz w:val="20"/>
                      <w:szCs w:val="20"/>
                    </w:rPr>
                  </w:pPr>
                  <w:r w:rsidRPr="00E96B86">
                    <w:rPr>
                      <w:b/>
                      <w:sz w:val="20"/>
                      <w:szCs w:val="20"/>
                    </w:rPr>
                    <w:t>ANEXO 1</w:t>
                  </w:r>
                </w:p>
              </w:txbxContent>
            </v:textbox>
          </v:shape>
        </w:pict>
      </w:r>
      <w:r w:rsidR="00C2611B" w:rsidRPr="00C2611B">
        <w:rPr>
          <w:noProof/>
          <w:lang w:val="es-PE" w:eastAsia="es-PE"/>
        </w:rPr>
        <w:drawing>
          <wp:inline distT="0" distB="0" distL="0" distR="0">
            <wp:extent cx="8258175" cy="6067425"/>
            <wp:effectExtent l="1905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3" cstate="print"/>
                    <a:srcRect/>
                    <a:stretch>
                      <a:fillRect/>
                    </a:stretch>
                  </pic:blipFill>
                  <pic:spPr bwMode="auto">
                    <a:xfrm>
                      <a:off x="0" y="0"/>
                      <a:ext cx="8257540" cy="6066958"/>
                    </a:xfrm>
                    <a:prstGeom prst="rect">
                      <a:avLst/>
                    </a:prstGeom>
                    <a:noFill/>
                    <a:ln w="9525">
                      <a:noFill/>
                      <a:miter lim="800000"/>
                      <a:headEnd/>
                      <a:tailEnd/>
                    </a:ln>
                  </pic:spPr>
                </pic:pic>
              </a:graphicData>
            </a:graphic>
          </wp:inline>
        </w:drawing>
      </w:r>
    </w:p>
    <w:p w:rsidR="006718B5" w:rsidRDefault="006718B5" w:rsidP="004A2EEB">
      <w:pPr>
        <w:rPr>
          <w:noProof/>
          <w:lang w:val="es-PE" w:eastAsia="es-PE"/>
        </w:rPr>
      </w:pPr>
    </w:p>
    <w:p w:rsidR="00852557" w:rsidRDefault="00CE7ABC">
      <w:pPr>
        <w:rPr>
          <w:color w:val="FF0000"/>
        </w:rPr>
      </w:pPr>
      <w:r>
        <w:rPr>
          <w:noProof/>
          <w:color w:val="FF0000"/>
          <w:lang w:val="es-PE" w:eastAsia="es-PE"/>
        </w:rPr>
        <w:pict>
          <v:shape id="_x0000_s1152" type="#_x0000_t202" style="position:absolute;left:0;text-align:left;margin-left:1.45pt;margin-top:11.85pt;width:66.45pt;height:24.2pt;z-index:251645440;mso-width-relative:margin;mso-height-relative:margin" stroked="f">
            <v:textbox style="mso-next-textbox:#_x0000_s1152">
              <w:txbxContent>
                <w:p w:rsidR="006913BD" w:rsidRPr="001B5371" w:rsidRDefault="006913BD">
                  <w:pPr>
                    <w:rPr>
                      <w:b/>
                      <w:sz w:val="20"/>
                      <w:szCs w:val="20"/>
                    </w:rPr>
                  </w:pPr>
                  <w:r w:rsidRPr="001717EB">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8D7256" w:rsidP="001717EB">
      <w:pPr>
        <w:ind w:left="-113"/>
        <w:jc w:val="center"/>
        <w:rPr>
          <w:color w:val="FF0000"/>
        </w:rPr>
      </w:pPr>
      <w:r w:rsidRPr="008D7256">
        <w:drawing>
          <wp:inline distT="0" distB="0" distL="0" distR="0">
            <wp:extent cx="8257540" cy="3365199"/>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4" cstate="print"/>
                    <a:srcRect/>
                    <a:stretch>
                      <a:fillRect/>
                    </a:stretch>
                  </pic:blipFill>
                  <pic:spPr bwMode="auto">
                    <a:xfrm>
                      <a:off x="0" y="0"/>
                      <a:ext cx="8257540" cy="3365199"/>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DF04C3" w:rsidRDefault="00DF04C3">
      <w:pPr>
        <w:rPr>
          <w:color w:val="FF0000"/>
        </w:rPr>
      </w:pPr>
    </w:p>
    <w:p w:rsidR="00DF04C3" w:rsidRDefault="00CE7ABC">
      <w:pPr>
        <w:rPr>
          <w:color w:val="FF0000"/>
        </w:rPr>
      </w:pPr>
      <w:r>
        <w:rPr>
          <w:noProof/>
          <w:color w:val="FF0000"/>
          <w:lang w:val="es-PE" w:eastAsia="es-PE"/>
        </w:rPr>
        <w:lastRenderedPageBreak/>
        <w:pict>
          <v:shape id="_x0000_s1153" type="#_x0000_t202" style="position:absolute;left:0;text-align:left;margin-left:-11.65pt;margin-top:12.35pt;width:84.05pt;height:19.45pt;z-index:251646464;mso-width-relative:margin;mso-height-relative:margin" stroked="f">
            <v:textbox style="mso-next-textbox:#_x0000_s1153">
              <w:txbxContent>
                <w:p w:rsidR="006913BD" w:rsidRPr="00050260" w:rsidRDefault="006913BD">
                  <w:pPr>
                    <w:rPr>
                      <w:b/>
                      <w:sz w:val="20"/>
                      <w:szCs w:val="20"/>
                    </w:rPr>
                  </w:pPr>
                  <w:r w:rsidRPr="001634BF">
                    <w:rPr>
                      <w:b/>
                      <w:sz w:val="20"/>
                      <w:szCs w:val="20"/>
                    </w:rPr>
                    <w:t>ANEXO 3</w:t>
                  </w:r>
                </w:p>
              </w:txbxContent>
            </v:textbox>
          </v:shape>
        </w:pict>
      </w:r>
    </w:p>
    <w:p w:rsidR="009E1A9A" w:rsidRDefault="009E1A9A">
      <w:pPr>
        <w:rPr>
          <w:color w:val="FF0000"/>
        </w:rPr>
      </w:pPr>
    </w:p>
    <w:p w:rsidR="000803B1" w:rsidRDefault="007B68CB" w:rsidP="00111C7A">
      <w:pPr>
        <w:ind w:left="-170"/>
        <w:rPr>
          <w:color w:val="FF0000"/>
        </w:rPr>
      </w:pPr>
      <w:r w:rsidRPr="007B68CB">
        <w:rPr>
          <w:color w:val="FF0000"/>
        </w:rPr>
        <w:t xml:space="preserve"> </w:t>
      </w:r>
      <w:r w:rsidR="001634BF" w:rsidRPr="001634BF">
        <w:rPr>
          <w:noProof/>
          <w:lang w:val="es-PE" w:eastAsia="es-PE"/>
        </w:rPr>
        <w:drawing>
          <wp:inline distT="0" distB="0" distL="0" distR="0">
            <wp:extent cx="8521816" cy="4562475"/>
            <wp:effectExtent l="1905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5" cstate="print"/>
                    <a:srcRect/>
                    <a:stretch>
                      <a:fillRect/>
                    </a:stretch>
                  </pic:blipFill>
                  <pic:spPr bwMode="auto">
                    <a:xfrm>
                      <a:off x="0" y="0"/>
                      <a:ext cx="8524487" cy="4563905"/>
                    </a:xfrm>
                    <a:prstGeom prst="rect">
                      <a:avLst/>
                    </a:prstGeom>
                    <a:noFill/>
                    <a:ln w="9525">
                      <a:noFill/>
                      <a:miter lim="800000"/>
                      <a:headEnd/>
                      <a:tailEnd/>
                    </a:ln>
                  </pic:spPr>
                </pic:pic>
              </a:graphicData>
            </a:graphic>
          </wp:inline>
        </w:drawing>
      </w:r>
    </w:p>
    <w:p w:rsidR="00852557" w:rsidRDefault="008E25BC">
      <w:pPr>
        <w:rPr>
          <w:color w:val="FF0000"/>
          <w:lang w:val="es-MX"/>
        </w:rPr>
      </w:pPr>
      <w:r>
        <w:rPr>
          <w:color w:val="FF0000"/>
          <w:lang w:val="es-MX"/>
        </w:rPr>
        <w:t xml:space="preserve"> </w:t>
      </w:r>
    </w:p>
    <w:p w:rsidR="00852557" w:rsidRDefault="00852557" w:rsidP="00F206D5">
      <w:pPr>
        <w:jc w:val="center"/>
        <w:rPr>
          <w:color w:val="FF0000"/>
        </w:rPr>
        <w:sectPr w:rsidR="00852557">
          <w:headerReference w:type="default" r:id="rId166"/>
          <w:footerReference w:type="default" r:id="rId167"/>
          <w:type w:val="continuous"/>
          <w:pgSz w:w="15840" w:h="12240" w:orient="landscape"/>
          <w:pgMar w:top="1701" w:right="1418" w:bottom="1701" w:left="1418" w:header="709" w:footer="709" w:gutter="0"/>
          <w:cols w:space="708"/>
          <w:vAlign w:val="both"/>
          <w:docGrid w:linePitch="360"/>
        </w:sectPr>
      </w:pPr>
    </w:p>
    <w:p w:rsidR="004D4FA2" w:rsidRDefault="004D4FA2">
      <w:pPr>
        <w:rPr>
          <w:color w:val="FF0000"/>
          <w:lang w:val="es-MX"/>
        </w:rPr>
      </w:pPr>
    </w:p>
    <w:p w:rsidR="00852557" w:rsidRDefault="00CE7ABC">
      <w:pPr>
        <w:rPr>
          <w:color w:val="FF0000"/>
        </w:rPr>
      </w:pPr>
      <w:r w:rsidRPr="00CE7ABC">
        <w:rPr>
          <w:noProof/>
          <w:lang w:val="es-PE" w:eastAsia="es-PE"/>
        </w:rPr>
        <w:lastRenderedPageBreak/>
        <w:pict>
          <v:shape id="_x0000_s1165" type="#_x0000_t202" style="position:absolute;left:0;text-align:left;margin-left:-.35pt;margin-top:-18.95pt;width:84.05pt;height:16.9pt;z-index:251658752;mso-width-relative:margin;mso-height-relative:margin" stroked="f">
            <v:textbox style="mso-next-textbox:#_x0000_s1165">
              <w:txbxContent>
                <w:p w:rsidR="006913BD" w:rsidRDefault="006913BD">
                  <w:pPr>
                    <w:rPr>
                      <w:b/>
                      <w:sz w:val="20"/>
                      <w:szCs w:val="20"/>
                    </w:rPr>
                  </w:pPr>
                  <w:r w:rsidRPr="001717EB">
                    <w:rPr>
                      <w:b/>
                      <w:sz w:val="20"/>
                      <w:szCs w:val="20"/>
                    </w:rPr>
                    <w:t>ANEXO 4</w:t>
                  </w:r>
                </w:p>
              </w:txbxContent>
            </v:textbox>
          </v:shape>
        </w:pict>
      </w: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8D7256">
      <w:pPr>
        <w:jc w:val="center"/>
      </w:pPr>
      <w:r w:rsidRPr="008D7256">
        <w:lastRenderedPageBreak/>
        <w:drawing>
          <wp:inline distT="0" distB="0" distL="0" distR="0">
            <wp:extent cx="8257540" cy="4328207"/>
            <wp:effectExtent l="19050" t="0" r="0" b="0"/>
            <wp:docPr id="1"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8" cstate="print"/>
                    <a:srcRect/>
                    <a:stretch>
                      <a:fillRect/>
                    </a:stretch>
                  </pic:blipFill>
                  <pic:spPr bwMode="auto">
                    <a:xfrm>
                      <a:off x="0" y="0"/>
                      <a:ext cx="8257540" cy="4328207"/>
                    </a:xfrm>
                    <a:prstGeom prst="rect">
                      <a:avLst/>
                    </a:prstGeom>
                    <a:noFill/>
                    <a:ln w="9525">
                      <a:noFill/>
                      <a:miter lim="800000"/>
                      <a:headEnd/>
                      <a:tailEnd/>
                    </a:ln>
                  </pic:spPr>
                </pic:pic>
              </a:graphicData>
            </a:graphic>
          </wp:inline>
        </w:drawing>
      </w:r>
    </w:p>
    <w:p w:rsidR="0066182D" w:rsidRDefault="0066182D">
      <w:pPr>
        <w:jc w:val="center"/>
      </w:pPr>
    </w:p>
    <w:p w:rsidR="00111C7A" w:rsidRDefault="00111C7A">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D7256" w:rsidRDefault="008D7256">
      <w:pPr>
        <w:rPr>
          <w:color w:val="FF0000"/>
        </w:rPr>
      </w:pPr>
    </w:p>
    <w:p w:rsidR="008D7256" w:rsidRDefault="008D7256">
      <w:pPr>
        <w:rPr>
          <w:color w:val="FF0000"/>
        </w:rPr>
      </w:pPr>
    </w:p>
    <w:p w:rsidR="008D7256" w:rsidRDefault="008D7256">
      <w:pPr>
        <w:rPr>
          <w:color w:val="FF0000"/>
        </w:rPr>
      </w:pPr>
    </w:p>
    <w:p w:rsidR="008D7256" w:rsidRDefault="008D7256">
      <w:pPr>
        <w:rPr>
          <w:color w:val="FF0000"/>
        </w:rPr>
      </w:pPr>
    </w:p>
    <w:p w:rsidR="00414D84" w:rsidRDefault="00CE7ABC">
      <w:pPr>
        <w:rPr>
          <w:color w:val="FF0000"/>
        </w:rPr>
      </w:pPr>
      <w:r>
        <w:rPr>
          <w:noProof/>
          <w:color w:val="FF0000"/>
          <w:lang w:val="es-PE" w:eastAsia="es-PE"/>
        </w:rPr>
        <w:lastRenderedPageBreak/>
        <w:pict>
          <v:shape id="_x0000_s1154" type="#_x0000_t202" style="position:absolute;left:0;text-align:left;margin-left:2.7pt;margin-top:6.85pt;width:84.05pt;height:32.6pt;z-index:251647488;mso-width-relative:margin;mso-height-relative:margin" stroked="f">
            <v:textbox style="mso-next-textbox:#_x0000_s1154">
              <w:txbxContent>
                <w:p w:rsidR="006913BD" w:rsidRPr="007B3C9E" w:rsidRDefault="006913BD">
                  <w:pPr>
                    <w:rPr>
                      <w:b/>
                      <w:sz w:val="20"/>
                      <w:szCs w:val="20"/>
                      <w:lang w:val="es-PE"/>
                    </w:rPr>
                  </w:pPr>
                </w:p>
                <w:p w:rsidR="006913BD" w:rsidRPr="00323202" w:rsidRDefault="006913BD">
                  <w:pPr>
                    <w:rPr>
                      <w:b/>
                      <w:sz w:val="20"/>
                      <w:szCs w:val="20"/>
                      <w:lang w:val="es-PE"/>
                    </w:rPr>
                  </w:pPr>
                  <w:r w:rsidRPr="001717EB">
                    <w:rPr>
                      <w:b/>
                      <w:sz w:val="20"/>
                      <w:szCs w:val="20"/>
                      <w:lang w:val="es-PE"/>
                    </w:rPr>
                    <w:t>ANEXO 5</w:t>
                  </w:r>
                </w:p>
              </w:txbxContent>
            </v:textbox>
          </v:shape>
        </w:pict>
      </w:r>
    </w:p>
    <w:p w:rsidR="00016F5C" w:rsidRDefault="00351199">
      <w:pPr>
        <w:rPr>
          <w:color w:val="FF0000"/>
        </w:rPr>
      </w:pPr>
      <w:r w:rsidRPr="00351199">
        <w:rPr>
          <w:color w:val="FF0000"/>
        </w:rPr>
        <w:t xml:space="preserve"> </w:t>
      </w:r>
    </w:p>
    <w:p w:rsidR="00016F5C" w:rsidRDefault="00016F5C">
      <w:pPr>
        <w:rPr>
          <w:color w:val="FF0000"/>
        </w:rPr>
      </w:pPr>
    </w:p>
    <w:p w:rsidR="0008391D" w:rsidRDefault="008D7256">
      <w:pPr>
        <w:rPr>
          <w:color w:val="FF0000"/>
        </w:rPr>
      </w:pPr>
      <w:r w:rsidRPr="008D7256">
        <w:drawing>
          <wp:inline distT="0" distB="0" distL="0" distR="0">
            <wp:extent cx="8257540" cy="4381037"/>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9" cstate="print"/>
                    <a:srcRect/>
                    <a:stretch>
                      <a:fillRect/>
                    </a:stretch>
                  </pic:blipFill>
                  <pic:spPr bwMode="auto">
                    <a:xfrm>
                      <a:off x="0" y="0"/>
                      <a:ext cx="8257540" cy="4381037"/>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CE7ABC" w:rsidRPr="00CE7ABC">
        <w:rPr>
          <w:noProof/>
          <w:color w:val="FF0000"/>
          <w:highlight w:val="yellow"/>
          <w:lang w:val="es-PE" w:eastAsia="es-PE"/>
        </w:rPr>
        <w:lastRenderedPageBreak/>
        <w:pict>
          <v:shape id="_x0000_s1155" type="#_x0000_t202" style="position:absolute;left:0;text-align:left;margin-left:-9.1pt;margin-top:11.3pt;width:102.45pt;height:23pt;z-index:251648512;mso-width-relative:margin;mso-height-relative:margin" stroked="f">
            <v:textbox style="mso-next-textbox:#_x0000_s1155">
              <w:txbxContent>
                <w:p w:rsidR="006913BD" w:rsidRPr="009E1A9A" w:rsidRDefault="006913BD" w:rsidP="002F36A7">
                  <w:pPr>
                    <w:ind w:firstLine="708"/>
                    <w:rPr>
                      <w:color w:val="FF0000"/>
                      <w:lang w:val="es-MX"/>
                    </w:rPr>
                  </w:pPr>
                  <w:r w:rsidRPr="001634BF">
                    <w:rPr>
                      <w:b/>
                      <w:sz w:val="20"/>
                      <w:szCs w:val="20"/>
                    </w:rPr>
                    <w:t>ANEXO 6</w:t>
                  </w:r>
                </w:p>
                <w:p w:rsidR="006913BD" w:rsidRPr="00870851" w:rsidRDefault="006913BD"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AF1200">
      <w:pPr>
        <w:jc w:val="center"/>
      </w:pPr>
      <w:r w:rsidRPr="00AF1200">
        <w:rPr>
          <w:noProof/>
          <w:lang w:val="es-PE" w:eastAsia="es-PE"/>
        </w:rPr>
        <w:drawing>
          <wp:inline distT="0" distB="0" distL="0" distR="0">
            <wp:extent cx="3857625" cy="3009900"/>
            <wp:effectExtent l="19050" t="0" r="9525"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0" cstate="print"/>
                    <a:srcRect/>
                    <a:stretch>
                      <a:fillRect/>
                    </a:stretch>
                  </pic:blipFill>
                  <pic:spPr bwMode="auto">
                    <a:xfrm>
                      <a:off x="0" y="0"/>
                      <a:ext cx="3857625" cy="3009900"/>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C10E5E" w:rsidP="009A403A"/>
    <w:p w:rsidR="002F1688" w:rsidRDefault="002F1688" w:rsidP="009A403A"/>
    <w:p w:rsidR="002F1688" w:rsidRDefault="002F1688" w:rsidP="009A403A"/>
    <w:p w:rsidR="009A403A" w:rsidRDefault="009A403A" w:rsidP="009A403A"/>
    <w:p w:rsidR="00C10E5E" w:rsidRDefault="00CE7ABC">
      <w:pPr>
        <w:jc w:val="center"/>
      </w:pPr>
      <w:r w:rsidRPr="00CE7ABC">
        <w:rPr>
          <w:noProof/>
          <w:color w:val="FF0000"/>
          <w:lang w:val="es-PE" w:eastAsia="es-PE"/>
        </w:rPr>
        <w:lastRenderedPageBreak/>
        <w:pict>
          <v:shape id="_x0000_s1157" type="#_x0000_t202" style="position:absolute;left:0;text-align:left;margin-left:-.9pt;margin-top:6.25pt;width:60.4pt;height:25.55pt;z-index:251650560;mso-width-relative:margin;mso-height-relative:margin" stroked="f">
            <v:textbox style="mso-next-textbox:#_x0000_s1157">
              <w:txbxContent>
                <w:p w:rsidR="006913BD" w:rsidRDefault="006913BD">
                  <w:pPr>
                    <w:rPr>
                      <w:b/>
                      <w:sz w:val="20"/>
                      <w:szCs w:val="16"/>
                    </w:rPr>
                  </w:pPr>
                  <w:r w:rsidRPr="001634BF">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1634BF"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1634BF">
        <w:rPr>
          <w:noProof/>
          <w:lang w:val="es-PE" w:eastAsia="es-PE"/>
        </w:rPr>
        <w:drawing>
          <wp:inline distT="0" distB="0" distL="0" distR="0">
            <wp:extent cx="8257540" cy="4450029"/>
            <wp:effectExtent l="1905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1" cstate="print"/>
                    <a:srcRect/>
                    <a:stretch>
                      <a:fillRect/>
                    </a:stretch>
                  </pic:blipFill>
                  <pic:spPr bwMode="auto">
                    <a:xfrm>
                      <a:off x="0" y="0"/>
                      <a:ext cx="8257540" cy="4450029"/>
                    </a:xfrm>
                    <a:prstGeom prst="rect">
                      <a:avLst/>
                    </a:prstGeom>
                    <a:noFill/>
                    <a:ln w="9525">
                      <a:noFill/>
                      <a:miter lim="800000"/>
                      <a:headEnd/>
                      <a:tailEnd/>
                    </a:ln>
                  </pic:spPr>
                </pic:pic>
              </a:graphicData>
            </a:graphic>
          </wp:inline>
        </w:drawing>
      </w:r>
    </w:p>
    <w:p w:rsidR="00E075D4" w:rsidRDefault="00E075D4">
      <w:pPr>
        <w:jc w:val="center"/>
        <w:rPr>
          <w:color w:val="FF0000"/>
        </w:rPr>
      </w:pPr>
    </w:p>
    <w:p w:rsidR="00B74DED" w:rsidRDefault="00B74DED">
      <w:pPr>
        <w:jc w:val="center"/>
        <w:rPr>
          <w:color w:val="FF0000"/>
        </w:rPr>
      </w:pPr>
    </w:p>
    <w:p w:rsidR="00AE21BE" w:rsidRDefault="00AE21BE">
      <w:pPr>
        <w:jc w:val="center"/>
        <w:rPr>
          <w:color w:val="FF0000"/>
        </w:rPr>
      </w:pPr>
    </w:p>
    <w:p w:rsidR="00852557" w:rsidRDefault="00CE7ABC" w:rsidP="00111C7A">
      <w:pPr>
        <w:ind w:right="-57"/>
        <w:sectPr w:rsidR="00852557">
          <w:type w:val="continuous"/>
          <w:pgSz w:w="15840" w:h="12240" w:orient="landscape"/>
          <w:pgMar w:top="1701" w:right="1418" w:bottom="1701" w:left="1418" w:header="709" w:footer="709" w:gutter="0"/>
          <w:cols w:space="708"/>
          <w:vAlign w:val="both"/>
          <w:docGrid w:linePitch="360"/>
        </w:sectPr>
      </w:pPr>
      <w:r w:rsidRPr="00CE7ABC">
        <w:rPr>
          <w:noProof/>
          <w:color w:val="FF0000"/>
          <w:lang w:val="es-PE" w:eastAsia="es-PE"/>
        </w:rPr>
        <w:lastRenderedPageBreak/>
        <w:pict>
          <v:shape id="_x0000_s1158" type="#_x0000_t202" style="position:absolute;left:0;text-align:left;margin-left:.85pt;margin-top:-12.2pt;width:65.85pt;height:16.1pt;z-index:251651584;mso-width-relative:margin;mso-height-relative:margin" stroked="f">
            <v:textbox style="mso-next-textbox:#_x0000_s1158">
              <w:txbxContent>
                <w:p w:rsidR="006913BD" w:rsidRDefault="006913BD">
                  <w:pPr>
                    <w:rPr>
                      <w:b/>
                      <w:sz w:val="20"/>
                      <w:szCs w:val="20"/>
                    </w:rPr>
                  </w:pPr>
                  <w:r w:rsidRPr="00016F5C">
                    <w:rPr>
                      <w:b/>
                      <w:sz w:val="20"/>
                      <w:szCs w:val="20"/>
                    </w:rPr>
                    <w:t>ANEXO 8</w:t>
                  </w:r>
                </w:p>
              </w:txbxContent>
            </v:textbox>
          </v:shape>
        </w:pict>
      </w:r>
      <w:r w:rsidR="00034490" w:rsidRPr="00034490">
        <w:rPr>
          <w:color w:val="FF0000"/>
          <w:lang w:val="es-MX"/>
        </w:rPr>
        <w:t xml:space="preserve"> </w:t>
      </w:r>
      <w:r w:rsidR="00016F5C" w:rsidRPr="00016F5C">
        <w:rPr>
          <w:noProof/>
          <w:lang w:val="es-PE" w:eastAsia="es-PE"/>
        </w:rPr>
        <w:drawing>
          <wp:inline distT="0" distB="0" distL="0" distR="0">
            <wp:extent cx="8255098" cy="5343525"/>
            <wp:effectExtent l="1905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2" cstate="print"/>
                    <a:srcRect/>
                    <a:stretch>
                      <a:fillRect/>
                    </a:stretch>
                  </pic:blipFill>
                  <pic:spPr bwMode="auto">
                    <a:xfrm>
                      <a:off x="0" y="0"/>
                      <a:ext cx="8257540" cy="5345106"/>
                    </a:xfrm>
                    <a:prstGeom prst="rect">
                      <a:avLst/>
                    </a:prstGeom>
                    <a:noFill/>
                    <a:ln w="9525">
                      <a:noFill/>
                      <a:miter lim="800000"/>
                      <a:headEnd/>
                      <a:tailEnd/>
                    </a:ln>
                  </pic:spPr>
                </pic:pic>
              </a:graphicData>
            </a:graphic>
          </wp:inline>
        </w:drawing>
      </w:r>
    </w:p>
    <w:p w:rsidR="00852557" w:rsidRDefault="00CE7ABC" w:rsidP="00897804">
      <w:pPr>
        <w:jc w:val="center"/>
      </w:pPr>
      <w:r>
        <w:rPr>
          <w:noProof/>
          <w:lang w:val="es-PE" w:eastAsia="es-PE"/>
        </w:rPr>
        <w:lastRenderedPageBreak/>
        <w:pict>
          <v:shape id="_x0000_s1167" type="#_x0000_t202" style="position:absolute;left:0;text-align:left;margin-left:-.4pt;margin-top:-26.5pt;width:69.5pt;height:21.95pt;z-index:251660800;mso-width-relative:margin;mso-height-relative:margin" stroked="f">
            <v:textbox style="mso-next-textbox:#_x0000_s1167">
              <w:txbxContent>
                <w:p w:rsidR="006913BD" w:rsidRDefault="006913BD">
                  <w:pPr>
                    <w:rPr>
                      <w:b/>
                      <w:sz w:val="20"/>
                      <w:szCs w:val="16"/>
                    </w:rPr>
                  </w:pPr>
                  <w:r w:rsidRPr="00016F5C">
                    <w:rPr>
                      <w:b/>
                      <w:sz w:val="20"/>
                      <w:szCs w:val="16"/>
                    </w:rPr>
                    <w:t>ANEXO 9</w:t>
                  </w:r>
                  <w:r>
                    <w:rPr>
                      <w:b/>
                      <w:sz w:val="20"/>
                      <w:szCs w:val="16"/>
                    </w:rPr>
                    <w:t xml:space="preserve">                                              </w:t>
                  </w:r>
                </w:p>
                <w:p w:rsidR="006913BD" w:rsidRDefault="006913BD">
                  <w:pPr>
                    <w:rPr>
                      <w:b/>
                      <w:szCs w:val="20"/>
                    </w:rPr>
                  </w:pPr>
                </w:p>
                <w:p w:rsidR="006913BD" w:rsidRDefault="006913BD">
                  <w:pPr>
                    <w:rPr>
                      <w:b/>
                      <w:szCs w:val="20"/>
                    </w:rPr>
                  </w:pPr>
                </w:p>
              </w:txbxContent>
            </v:textbox>
          </v:shape>
        </w:pict>
      </w:r>
      <w:r w:rsidR="00016F5C" w:rsidRPr="00016F5C">
        <w:rPr>
          <w:noProof/>
          <w:lang w:val="es-PE" w:eastAsia="es-PE"/>
        </w:rPr>
        <w:drawing>
          <wp:inline distT="0" distB="0" distL="0" distR="0">
            <wp:extent cx="8258175" cy="6115050"/>
            <wp:effectExtent l="19050" t="0" r="9525" b="0"/>
            <wp:docPr id="5"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3" cstate="print"/>
                    <a:srcRect/>
                    <a:stretch>
                      <a:fillRect/>
                    </a:stretch>
                  </pic:blipFill>
                  <pic:spPr bwMode="auto">
                    <a:xfrm>
                      <a:off x="0" y="0"/>
                      <a:ext cx="8257540" cy="6114580"/>
                    </a:xfrm>
                    <a:prstGeom prst="rect">
                      <a:avLst/>
                    </a:prstGeom>
                    <a:noFill/>
                    <a:ln w="9525">
                      <a:noFill/>
                      <a:miter lim="800000"/>
                      <a:headEnd/>
                      <a:tailEnd/>
                    </a:ln>
                  </pic:spPr>
                </pic:pic>
              </a:graphicData>
            </a:graphic>
          </wp:inline>
        </w:drawing>
      </w:r>
    </w:p>
    <w:p w:rsidR="00C44654" w:rsidRPr="00C44654" w:rsidRDefault="00CE7ABC" w:rsidP="004E43C2">
      <w:pPr>
        <w:ind w:left="-57"/>
        <w:jc w:val="left"/>
        <w:rPr>
          <w:noProof/>
          <w:lang w:val="es-PE" w:eastAsia="es-PE"/>
        </w:rPr>
      </w:pPr>
      <w:r>
        <w:rPr>
          <w:noProof/>
          <w:lang w:val="es-PE" w:eastAsia="es-PE"/>
        </w:rPr>
        <w:lastRenderedPageBreak/>
        <w:pict>
          <v:shape id="_x0000_s100236" type="#_x0000_t202" style="position:absolute;left:0;text-align:left;margin-left:-6.4pt;margin-top:-34.15pt;width:82pt;height:17.55pt;z-index:251752960;mso-width-relative:margin;mso-height-relative:margin" stroked="f">
            <v:textbox style="mso-next-textbox:#_x0000_s100236">
              <w:txbxContent>
                <w:p w:rsidR="006913BD" w:rsidRDefault="006913BD" w:rsidP="00897804">
                  <w:pPr>
                    <w:rPr>
                      <w:b/>
                      <w:sz w:val="20"/>
                      <w:szCs w:val="18"/>
                    </w:rPr>
                  </w:pPr>
                  <w:r w:rsidRPr="00016F5C">
                    <w:rPr>
                      <w:b/>
                      <w:sz w:val="20"/>
                      <w:szCs w:val="18"/>
                    </w:rPr>
                    <w:t>ANEXO 10</w:t>
                  </w:r>
                  <w:r>
                    <w:rPr>
                      <w:b/>
                      <w:sz w:val="20"/>
                      <w:szCs w:val="18"/>
                    </w:rPr>
                    <w:t xml:space="preserve">                                                      </w:t>
                  </w:r>
                </w:p>
              </w:txbxContent>
            </v:textbox>
          </v:shape>
        </w:pict>
      </w:r>
      <w:r w:rsidR="0036489F" w:rsidRPr="0036489F">
        <w:rPr>
          <w:noProof/>
          <w:lang w:val="es-PE" w:eastAsia="es-PE"/>
        </w:rPr>
        <w:drawing>
          <wp:inline distT="0" distB="0" distL="0" distR="0">
            <wp:extent cx="8296274" cy="6124575"/>
            <wp:effectExtent l="1905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4" cstate="print"/>
                    <a:srcRect/>
                    <a:stretch>
                      <a:fillRect/>
                    </a:stretch>
                  </pic:blipFill>
                  <pic:spPr bwMode="auto">
                    <a:xfrm>
                      <a:off x="0" y="0"/>
                      <a:ext cx="8309011" cy="6133978"/>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8C05B2">
        <w:rPr>
          <w:b/>
          <w:sz w:val="20"/>
          <w:szCs w:val="20"/>
        </w:rPr>
        <w:t>ANEXO 11</w:t>
      </w:r>
    </w:p>
    <w:p w:rsidR="0084701F" w:rsidRDefault="0084701F">
      <w:pPr>
        <w:jc w:val="left"/>
      </w:pPr>
    </w:p>
    <w:p w:rsidR="00852557" w:rsidRPr="006940B1" w:rsidRDefault="00C2611B"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C2611B">
        <w:rPr>
          <w:noProof/>
          <w:lang w:val="es-PE" w:eastAsia="es-PE"/>
        </w:rPr>
        <w:drawing>
          <wp:inline distT="0" distB="0" distL="0" distR="0">
            <wp:extent cx="8257540" cy="3484761"/>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5" cstate="print"/>
                    <a:srcRect/>
                    <a:stretch>
                      <a:fillRect/>
                    </a:stretch>
                  </pic:blipFill>
                  <pic:spPr bwMode="auto">
                    <a:xfrm>
                      <a:off x="0" y="0"/>
                      <a:ext cx="8257540" cy="3484761"/>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111C7A" w:rsidRDefault="00CE7ABC">
      <w:pPr>
        <w:rPr>
          <w:color w:val="FF0000"/>
          <w:lang w:val="es-MX"/>
        </w:rPr>
      </w:pPr>
      <w:r>
        <w:rPr>
          <w:noProof/>
          <w:color w:val="FF0000"/>
          <w:lang w:val="es-PE" w:eastAsia="es-PE"/>
        </w:rPr>
        <w:lastRenderedPageBreak/>
        <w:pict>
          <v:shape id="_x0000_s1160" type="#_x0000_t202" style="position:absolute;left:0;text-align:left;margin-left:.35pt;margin-top:-9.25pt;width:83.95pt;height:22.25pt;z-index:251653632;mso-width-relative:margin;mso-height-relative:margin" stroked="f">
            <v:textbox style="mso-next-textbox:#_x0000_s1160">
              <w:txbxContent>
                <w:p w:rsidR="006913BD" w:rsidRDefault="006913BD">
                  <w:pPr>
                    <w:rPr>
                      <w:b/>
                      <w:sz w:val="20"/>
                      <w:szCs w:val="20"/>
                    </w:rPr>
                  </w:pPr>
                  <w:r w:rsidRPr="00016F5C">
                    <w:rPr>
                      <w:b/>
                      <w:sz w:val="20"/>
                      <w:szCs w:val="20"/>
                    </w:rPr>
                    <w:t>ANEXO 12</w:t>
                  </w:r>
                  <w:r>
                    <w:rPr>
                      <w:b/>
                      <w:sz w:val="20"/>
                      <w:szCs w:val="20"/>
                    </w:rPr>
                    <w:t xml:space="preserve">                             </w:t>
                  </w:r>
                </w:p>
              </w:txbxContent>
            </v:textbox>
          </v:shape>
        </w:pict>
      </w:r>
    </w:p>
    <w:p w:rsidR="00016F5C" w:rsidRDefault="00016F5C">
      <w:pPr>
        <w:rPr>
          <w:color w:val="FF0000"/>
          <w:lang w:val="es-MX"/>
        </w:rPr>
      </w:pPr>
    </w:p>
    <w:p w:rsidR="00016F5C" w:rsidRDefault="008D7256">
      <w:pPr>
        <w:rPr>
          <w:color w:val="FF0000"/>
          <w:lang w:val="es-MX"/>
        </w:rPr>
      </w:pPr>
      <w:r w:rsidRPr="008D7256">
        <w:drawing>
          <wp:inline distT="0" distB="0" distL="0" distR="0">
            <wp:extent cx="8257540" cy="4766618"/>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6" cstate="print"/>
                    <a:srcRect/>
                    <a:stretch>
                      <a:fillRect/>
                    </a:stretch>
                  </pic:blipFill>
                  <pic:spPr bwMode="auto">
                    <a:xfrm>
                      <a:off x="0" y="0"/>
                      <a:ext cx="8257540" cy="4766618"/>
                    </a:xfrm>
                    <a:prstGeom prst="rect">
                      <a:avLst/>
                    </a:prstGeom>
                    <a:noFill/>
                    <a:ln w="9525">
                      <a:noFill/>
                      <a:miter lim="800000"/>
                      <a:headEnd/>
                      <a:tailEnd/>
                    </a:ln>
                  </pic:spPr>
                </pic:pic>
              </a:graphicData>
            </a:graphic>
          </wp:inline>
        </w:drawing>
      </w:r>
    </w:p>
    <w:p w:rsidR="006718B5" w:rsidRDefault="006718B5" w:rsidP="003474C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CE7ABC" w:rsidP="00097529">
      <w:pPr>
        <w:ind w:left="-170"/>
        <w:rPr>
          <w:color w:val="FF0000"/>
        </w:rPr>
        <w:sectPr w:rsidR="00852557">
          <w:type w:val="continuous"/>
          <w:pgSz w:w="15840" w:h="12240" w:orient="landscape"/>
          <w:pgMar w:top="1701" w:right="1418" w:bottom="1701" w:left="1418" w:header="709" w:footer="709" w:gutter="0"/>
          <w:cols w:space="708"/>
          <w:vAlign w:val="both"/>
          <w:docGrid w:linePitch="360"/>
        </w:sectPr>
      </w:pPr>
      <w:r w:rsidRPr="00CE7ABC">
        <w:rPr>
          <w:noProof/>
          <w:lang w:val="es-PE" w:eastAsia="es-PE"/>
        </w:rPr>
        <w:lastRenderedPageBreak/>
        <w:pict>
          <v:shape id="_x0000_s100000" type="#_x0000_t202" style="position:absolute;left:0;text-align:left;margin-left:-5.55pt;margin-top:-27.95pt;width:82.2pt;height:21.9pt;z-index:251723264;mso-width-relative:margin;mso-height-relative:margin" stroked="f">
            <v:textbox style="mso-next-textbox:#_x0000_s100000">
              <w:txbxContent>
                <w:p w:rsidR="006913BD" w:rsidRDefault="006913BD" w:rsidP="00DF47DC">
                  <w:pPr>
                    <w:rPr>
                      <w:b/>
                      <w:sz w:val="20"/>
                      <w:szCs w:val="20"/>
                    </w:rPr>
                  </w:pPr>
                  <w:r w:rsidRPr="00D10FD3">
                    <w:rPr>
                      <w:b/>
                      <w:sz w:val="20"/>
                      <w:szCs w:val="20"/>
                    </w:rPr>
                    <w:t>ANEXO 13</w:t>
                  </w:r>
                  <w:r>
                    <w:rPr>
                      <w:b/>
                      <w:sz w:val="20"/>
                      <w:szCs w:val="20"/>
                    </w:rPr>
                    <w:t xml:space="preserve">                                                                      </w:t>
                  </w:r>
                </w:p>
              </w:txbxContent>
            </v:textbox>
          </v:shape>
        </w:pict>
      </w:r>
      <w:r w:rsidR="00C2611B" w:rsidRPr="00C2611B">
        <w:rPr>
          <w:noProof/>
          <w:lang w:val="es-PE" w:eastAsia="es-PE"/>
        </w:rPr>
        <w:drawing>
          <wp:inline distT="0" distB="0" distL="0" distR="0">
            <wp:extent cx="8334375" cy="6229350"/>
            <wp:effectExtent l="1905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7" cstate="print"/>
                    <a:srcRect/>
                    <a:stretch>
                      <a:fillRect/>
                    </a:stretch>
                  </pic:blipFill>
                  <pic:spPr bwMode="auto">
                    <a:xfrm>
                      <a:off x="0" y="0"/>
                      <a:ext cx="8333845" cy="6228954"/>
                    </a:xfrm>
                    <a:prstGeom prst="rect">
                      <a:avLst/>
                    </a:prstGeom>
                    <a:noFill/>
                    <a:ln w="9525">
                      <a:noFill/>
                      <a:miter lim="800000"/>
                      <a:headEnd/>
                      <a:tailEnd/>
                    </a:ln>
                  </pic:spPr>
                </pic:pic>
              </a:graphicData>
            </a:graphic>
          </wp:inline>
        </w:drawing>
      </w:r>
    </w:p>
    <w:p w:rsidR="00852557" w:rsidRDefault="00CE7ABC">
      <w:pPr>
        <w:jc w:val="center"/>
        <w:rPr>
          <w:noProof/>
          <w:lang w:val="es-PE" w:eastAsia="es-PE"/>
        </w:rPr>
      </w:pPr>
      <w:r w:rsidRPr="00CE7ABC">
        <w:rPr>
          <w:noProof/>
          <w:color w:val="FF0000"/>
          <w:lang w:val="es-PE" w:eastAsia="es-PE"/>
        </w:rPr>
        <w:lastRenderedPageBreak/>
        <w:pict>
          <v:shape id="_x0000_s1162" type="#_x0000_t202" style="position:absolute;left:0;text-align:left;margin-left:-1.8pt;margin-top:-18.2pt;width:82.2pt;height:21.9pt;z-index:251655680;mso-width-relative:margin;mso-height-relative:margin" stroked="f">
            <v:textbox style="mso-next-textbox:#_x0000_s1162">
              <w:txbxContent>
                <w:p w:rsidR="006913BD" w:rsidRDefault="006913BD">
                  <w:pPr>
                    <w:rPr>
                      <w:b/>
                      <w:sz w:val="20"/>
                      <w:szCs w:val="20"/>
                    </w:rPr>
                  </w:pPr>
                  <w:r w:rsidRPr="00DA2504">
                    <w:rPr>
                      <w:b/>
                      <w:sz w:val="20"/>
                      <w:szCs w:val="20"/>
                    </w:rPr>
                    <w:t>ANEXO 14</w:t>
                  </w:r>
                </w:p>
                <w:p w:rsidR="006913BD" w:rsidRDefault="006913BD">
                  <w:pPr>
                    <w:rPr>
                      <w:b/>
                      <w:sz w:val="20"/>
                      <w:szCs w:val="20"/>
                    </w:rPr>
                  </w:pPr>
                  <w:r>
                    <w:rPr>
                      <w:b/>
                      <w:sz w:val="20"/>
                      <w:szCs w:val="20"/>
                    </w:rPr>
                    <w:t xml:space="preserve">                                                                      </w:t>
                  </w:r>
                </w:p>
              </w:txbxContent>
            </v:textbox>
          </v:shape>
        </w:pict>
      </w:r>
      <w:r w:rsidR="00097529" w:rsidRPr="00097529">
        <w:rPr>
          <w:noProof/>
          <w:lang w:val="es-PE" w:eastAsia="es-PE"/>
        </w:rPr>
        <w:drawing>
          <wp:inline distT="0" distB="0" distL="0" distR="0">
            <wp:extent cx="8248650" cy="6229350"/>
            <wp:effectExtent l="1905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8" cstate="print"/>
                    <a:srcRect/>
                    <a:stretch>
                      <a:fillRect/>
                    </a:stretch>
                  </pic:blipFill>
                  <pic:spPr bwMode="auto">
                    <a:xfrm>
                      <a:off x="0" y="0"/>
                      <a:ext cx="8257540" cy="6236064"/>
                    </a:xfrm>
                    <a:prstGeom prst="rect">
                      <a:avLst/>
                    </a:prstGeom>
                    <a:noFill/>
                    <a:ln w="9525">
                      <a:noFill/>
                      <a:miter lim="800000"/>
                      <a:headEnd/>
                      <a:tailEnd/>
                    </a:ln>
                  </pic:spPr>
                </pic:pic>
              </a:graphicData>
            </a:graphic>
          </wp:inline>
        </w:drawing>
      </w:r>
    </w:p>
    <w:p w:rsidR="00016F5C" w:rsidRDefault="00CE7ABC">
      <w:pPr>
        <w:jc w:val="center"/>
        <w:rPr>
          <w:noProof/>
          <w:lang w:val="es-PE" w:eastAsia="es-PE"/>
        </w:rPr>
      </w:pPr>
      <w:r w:rsidRPr="00CE7ABC">
        <w:rPr>
          <w:noProof/>
          <w:color w:val="FF0000"/>
          <w:lang w:val="es-PE" w:eastAsia="es-PE"/>
        </w:rPr>
        <w:lastRenderedPageBreak/>
        <w:pict>
          <v:shape id="_x0000_s1163" type="#_x0000_t202" style="position:absolute;left:0;text-align:left;margin-left:6.25pt;margin-top:3.5pt;width:71.75pt;height:19.2pt;z-index:251656704;mso-width-relative:margin;mso-height-relative:margin" stroked="f">
            <v:textbox style="mso-next-textbox:#_x0000_s1163">
              <w:txbxContent>
                <w:p w:rsidR="006913BD" w:rsidRPr="00A2269E" w:rsidRDefault="006913BD">
                  <w:pPr>
                    <w:rPr>
                      <w:b/>
                      <w:sz w:val="20"/>
                      <w:szCs w:val="18"/>
                    </w:rPr>
                  </w:pPr>
                  <w:r w:rsidRPr="00D10FD3">
                    <w:rPr>
                      <w:b/>
                      <w:sz w:val="20"/>
                      <w:szCs w:val="18"/>
                    </w:rPr>
                    <w:t>ANEXO 15</w:t>
                  </w:r>
                </w:p>
                <w:p w:rsidR="006913BD" w:rsidRDefault="006913BD">
                  <w:pPr>
                    <w:rPr>
                      <w:b/>
                      <w:sz w:val="20"/>
                      <w:szCs w:val="18"/>
                    </w:rPr>
                  </w:pPr>
                </w:p>
                <w:p w:rsidR="006913BD" w:rsidRDefault="006913BD">
                  <w:pPr>
                    <w:rPr>
                      <w:b/>
                      <w:sz w:val="20"/>
                      <w:szCs w:val="18"/>
                    </w:rPr>
                  </w:pPr>
                  <w:r>
                    <w:rPr>
                      <w:b/>
                      <w:sz w:val="20"/>
                      <w:szCs w:val="18"/>
                    </w:rPr>
                    <w:t xml:space="preserve">                                                              </w:t>
                  </w:r>
                </w:p>
              </w:txbxContent>
            </v:textbox>
          </v:shape>
        </w:pict>
      </w:r>
    </w:p>
    <w:p w:rsidR="00724DCB" w:rsidRDefault="00724DCB" w:rsidP="00724DCB">
      <w:pPr>
        <w:rPr>
          <w:noProof/>
          <w:lang w:val="es-PE" w:eastAsia="es-PE"/>
        </w:rPr>
      </w:pPr>
    </w:p>
    <w:p w:rsidR="00724DCB" w:rsidRDefault="00724DCB" w:rsidP="00724DCB">
      <w:pPr>
        <w:rPr>
          <w:noProof/>
          <w:lang w:val="es-PE" w:eastAsia="es-PE"/>
        </w:rPr>
      </w:pPr>
    </w:p>
    <w:p w:rsidR="00016F5C" w:rsidRDefault="008D7256" w:rsidP="00724DCB">
      <w:pPr>
        <w:rPr>
          <w:noProof/>
          <w:lang w:val="es-PE" w:eastAsia="es-PE"/>
        </w:rPr>
      </w:pPr>
      <w:r w:rsidRPr="008D7256">
        <w:drawing>
          <wp:inline distT="0" distB="0" distL="0" distR="0">
            <wp:extent cx="8257540" cy="2498276"/>
            <wp:effectExtent l="1905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9" cstate="print"/>
                    <a:srcRect/>
                    <a:stretch>
                      <a:fillRect/>
                    </a:stretch>
                  </pic:blipFill>
                  <pic:spPr bwMode="auto">
                    <a:xfrm>
                      <a:off x="0" y="0"/>
                      <a:ext cx="8257540" cy="2498276"/>
                    </a:xfrm>
                    <a:prstGeom prst="rect">
                      <a:avLst/>
                    </a:prstGeom>
                    <a:noFill/>
                    <a:ln w="9525">
                      <a:noFill/>
                      <a:miter lim="800000"/>
                      <a:headEnd/>
                      <a:tailEnd/>
                    </a:ln>
                  </pic:spPr>
                </pic:pic>
              </a:graphicData>
            </a:graphic>
          </wp:inline>
        </w:drawing>
      </w:r>
    </w:p>
    <w:p w:rsidR="00724DCB" w:rsidRDefault="00724DCB" w:rsidP="00724DCB">
      <w:pPr>
        <w:jc w:val="left"/>
        <w:rPr>
          <w:noProof/>
          <w:lang w:val="es-PE" w:eastAsia="es-PE"/>
        </w:rPr>
      </w:pPr>
    </w:p>
    <w:p w:rsidR="00724DCB" w:rsidRDefault="00724DCB" w:rsidP="00724DCB">
      <w:pPr>
        <w:jc w:val="left"/>
        <w:rPr>
          <w:noProof/>
          <w:lang w:val="es-PE" w:eastAsia="es-PE"/>
        </w:rPr>
      </w:pPr>
    </w:p>
    <w:p w:rsidR="00724DCB" w:rsidRDefault="00724DCB" w:rsidP="00724DCB">
      <w:pPr>
        <w:jc w:val="left"/>
        <w:rPr>
          <w:noProof/>
          <w:lang w:val="es-PE" w:eastAsia="es-PE"/>
        </w:rPr>
      </w:pPr>
    </w:p>
    <w:p w:rsidR="00852557" w:rsidRDefault="00852557">
      <w:pPr>
        <w:jc w:val="center"/>
        <w:rPr>
          <w:noProof/>
          <w:lang w:val="es-PE" w:eastAsia="es-PE"/>
        </w:rPr>
      </w:pPr>
    </w:p>
    <w:p w:rsidR="006718B5" w:rsidRDefault="006718B5">
      <w:pPr>
        <w:jc w:val="center"/>
        <w:rPr>
          <w:noProof/>
          <w:lang w:val="es-PE" w:eastAsia="es-PE"/>
        </w:rPr>
      </w:pPr>
    </w:p>
    <w:p w:rsidR="006718B5" w:rsidRDefault="006718B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80"/>
          <w:footerReference w:type="default" r:id="rId181"/>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9" type="#_x0000_t75" style="width:84pt;height:34.5pt" o:ole="">
            <v:imagedata r:id="rId182" o:title=""/>
          </v:shape>
          <o:OLEObject Type="Embed" ProgID="Equation.3" ShapeID="_x0000_i1069" DrawAspect="Content" ObjectID="_1420468553" r:id="rId183"/>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4"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70" type="#_x0000_t75" style="width:198pt;height:187.5pt" o:ole="">
            <v:imagedata r:id="rId185" o:title=""/>
          </v:shape>
          <o:OLEObject Type="Embed" ProgID="Excel.Sheet.8" ShapeID="_x0000_i1070" DrawAspect="Content" ObjectID="_1420468554" r:id="rId186"/>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095F" w:rsidRDefault="0033095F">
      <w:r>
        <w:separator/>
      </w:r>
    </w:p>
  </w:endnote>
  <w:endnote w:type="continuationSeparator" w:id="0">
    <w:p w:rsidR="0033095F" w:rsidRDefault="0033095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end"/>
    </w:r>
  </w:p>
  <w:p w:rsidR="006913BD" w:rsidRDefault="006913BD">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8</w:t>
    </w:r>
    <w:r>
      <w:rPr>
        <w:rStyle w:val="Nmerodepgina"/>
      </w:rPr>
      <w:fldChar w:fldCharType="end"/>
    </w:r>
  </w:p>
  <w:p w:rsidR="006913BD" w:rsidRDefault="006913BD">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10</w:t>
    </w:r>
    <w:r>
      <w:rPr>
        <w:rStyle w:val="Nmerodepgina"/>
      </w:rPr>
      <w:fldChar w:fldCharType="end"/>
    </w:r>
  </w:p>
  <w:p w:rsidR="006913BD" w:rsidRDefault="006913BD">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6913BD">
      <w:rPr>
        <w:rStyle w:val="Nmerodepgina"/>
        <w:noProof/>
      </w:rPr>
      <w:t>14</w:t>
    </w:r>
    <w:r>
      <w:rPr>
        <w:rStyle w:val="Nmerodepgina"/>
      </w:rPr>
      <w:fldChar w:fldCharType="end"/>
    </w:r>
  </w:p>
  <w:p w:rsidR="006913BD" w:rsidRDefault="006913BD">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end"/>
    </w:r>
  </w:p>
  <w:p w:rsidR="006913BD" w:rsidRDefault="006913BD">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framePr w:wrap="around" w:vAnchor="text" w:hAnchor="margin" w:xAlign="right" w:y="1"/>
      <w:ind w:right="360"/>
      <w:rPr>
        <w:rStyle w:val="Nmerodepgina"/>
      </w:rPr>
    </w:pPr>
  </w:p>
  <w:p w:rsidR="006913BD" w:rsidRDefault="00CE7ABC">
    <w:pPr>
      <w:pStyle w:val="Piedepgina"/>
      <w:ind w:right="360"/>
      <w:jc w:val="right"/>
    </w:pPr>
    <w:r>
      <w:rPr>
        <w:rStyle w:val="Nmerodepgina"/>
      </w:rPr>
      <w:fldChar w:fldCharType="begin"/>
    </w:r>
    <w:r w:rsidR="006913BD">
      <w:rPr>
        <w:rStyle w:val="Nmerodepgina"/>
      </w:rPr>
      <w:instrText xml:space="preserve"> PAGE </w:instrText>
    </w:r>
    <w:r>
      <w:rPr>
        <w:rStyle w:val="Nmerodepgina"/>
      </w:rPr>
      <w:fldChar w:fldCharType="separate"/>
    </w:r>
    <w:r w:rsidR="008D7256">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jc w:val="right"/>
    </w:pPr>
    <w:r>
      <w:rPr>
        <w:rStyle w:val="Nmerodepgina"/>
      </w:rPr>
      <w:fldChar w:fldCharType="begin"/>
    </w:r>
    <w:r w:rsidR="006913BD">
      <w:rPr>
        <w:rStyle w:val="Nmerodepgina"/>
      </w:rPr>
      <w:instrText xml:space="preserve"> PAGE </w:instrText>
    </w:r>
    <w:r>
      <w:rPr>
        <w:rStyle w:val="Nmerodepgina"/>
      </w:rPr>
      <w:fldChar w:fldCharType="separate"/>
    </w:r>
    <w:r w:rsidR="006913BD">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Pr="00DB5977" w:rsidRDefault="006913BD" w:rsidP="00DB5977">
    <w:pPr>
      <w:pStyle w:val="Piedepgina"/>
      <w:jc w:val="right"/>
      <w:rPr>
        <w:lang w:val="es-PE"/>
      </w:rPr>
    </w:pPr>
    <w:r>
      <w:rPr>
        <w:lang w:val="es-PE"/>
      </w:rPr>
      <w:t>20</w: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jc w:val="right"/>
    </w:pPr>
    <w:r>
      <w:rPr>
        <w:rStyle w:val="Nmerodepgina"/>
      </w:rPr>
      <w:fldChar w:fldCharType="begin"/>
    </w:r>
    <w:r w:rsidR="006913BD">
      <w:rPr>
        <w:rStyle w:val="Nmerodepgina"/>
      </w:rPr>
      <w:instrText xml:space="preserve"> PAGE </w:instrText>
    </w:r>
    <w:r>
      <w:rPr>
        <w:rStyle w:val="Nmerodepgina"/>
      </w:rPr>
      <w:fldChar w:fldCharType="separate"/>
    </w:r>
    <w:r w:rsidR="008D7256">
      <w:rPr>
        <w:rStyle w:val="Nmerodepgina"/>
        <w:noProof/>
      </w:rPr>
      <w:t>15</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21</w:t>
    </w:r>
    <w:r>
      <w:rPr>
        <w:rStyle w:val="Nmerodepgina"/>
      </w:rPr>
      <w:fldChar w:fldCharType="end"/>
    </w:r>
  </w:p>
  <w:p w:rsidR="006913BD" w:rsidRDefault="006913BD">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54293"/>
      <w:docPartObj>
        <w:docPartGallery w:val="Page Numbers (Bottom of Page)"/>
        <w:docPartUnique/>
      </w:docPartObj>
    </w:sdtPr>
    <w:sdtContent>
      <w:p w:rsidR="006913BD" w:rsidRDefault="00CE7ABC">
        <w:pPr>
          <w:pStyle w:val="Piedepgina"/>
          <w:jc w:val="right"/>
        </w:pPr>
        <w:fldSimple w:instr=" PAGE   \* MERGEFORMAT ">
          <w:r w:rsidR="008D7256">
            <w:rPr>
              <w:noProof/>
            </w:rPr>
            <w:t>1</w:t>
          </w:r>
        </w:fldSimple>
      </w:p>
    </w:sdtContent>
  </w:sdt>
  <w:p w:rsidR="006913BD" w:rsidRDefault="006913BD">
    <w:pPr>
      <w:pStyle w:val="Piedepgina"/>
      <w:jc w:val="right"/>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jc w:val="right"/>
    </w:pPr>
    <w:r>
      <w:rPr>
        <w:rStyle w:val="Nmerodepgina"/>
      </w:rPr>
      <w:fldChar w:fldCharType="begin"/>
    </w:r>
    <w:r w:rsidR="006913BD">
      <w:rPr>
        <w:rStyle w:val="Nmerodepgina"/>
      </w:rPr>
      <w:instrText xml:space="preserve"> PAGE </w:instrText>
    </w:r>
    <w:r>
      <w:rPr>
        <w:rStyle w:val="Nmerodepgina"/>
      </w:rPr>
      <w:fldChar w:fldCharType="separate"/>
    </w:r>
    <w:r w:rsidR="008D7256">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jc w:val="right"/>
    </w:pPr>
    <w:r>
      <w:rPr>
        <w:rStyle w:val="Nmerodepgina"/>
      </w:rPr>
      <w:fldChar w:fldCharType="begin"/>
    </w:r>
    <w:r w:rsidR="006913BD">
      <w:rPr>
        <w:rStyle w:val="Nmerodepgina"/>
      </w:rPr>
      <w:instrText xml:space="preserve"> PAGE </w:instrText>
    </w:r>
    <w:r>
      <w:rPr>
        <w:rStyle w:val="Nmerodepgina"/>
      </w:rPr>
      <w:fldChar w:fldCharType="separate"/>
    </w:r>
    <w:r w:rsidR="00AF1200">
      <w:rPr>
        <w:rStyle w:val="Nmerodepgina"/>
        <w:noProof/>
      </w:rPr>
      <w:t>24</w:t>
    </w:r>
    <w:r>
      <w:rPr>
        <w:rStyle w:val="Nmerodepgina"/>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jc w:val="right"/>
    </w:pPr>
    <w:r>
      <w:rPr>
        <w:rStyle w:val="Nmerodepgina"/>
      </w:rPr>
      <w:fldChar w:fldCharType="begin"/>
    </w:r>
    <w:r w:rsidR="006913BD">
      <w:rPr>
        <w:rStyle w:val="Nmerodepgina"/>
      </w:rPr>
      <w:instrText xml:space="preserve"> PAGE </w:instrText>
    </w:r>
    <w:r>
      <w:rPr>
        <w:rStyle w:val="Nmerodepgina"/>
      </w:rPr>
      <w:fldChar w:fldCharType="separate"/>
    </w:r>
    <w:r w:rsidR="008D7256">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25</w:t>
    </w:r>
    <w:r>
      <w:rPr>
        <w:rStyle w:val="Nmerodepgina"/>
      </w:rPr>
      <w:fldChar w:fldCharType="end"/>
    </w:r>
  </w:p>
  <w:p w:rsidR="006913BD" w:rsidRDefault="006913BD">
    <w:pPr>
      <w:pStyle w:val="Piedepgina"/>
      <w:ind w:right="360"/>
      <w:jc w:val="right"/>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27</w:t>
    </w:r>
    <w:r>
      <w:rPr>
        <w:rStyle w:val="Nmerodepgina"/>
      </w:rPr>
      <w:fldChar w:fldCharType="end"/>
    </w:r>
  </w:p>
  <w:p w:rsidR="006913BD" w:rsidRDefault="006913BD" w:rsidP="005E07C1">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6913BD">
      <w:rPr>
        <w:rStyle w:val="Nmerodepgina"/>
        <w:noProof/>
      </w:rPr>
      <w:t>27</w:t>
    </w:r>
    <w:r>
      <w:rPr>
        <w:rStyle w:val="Nmerodepgina"/>
      </w:rPr>
      <w:fldChar w:fldCharType="end"/>
    </w:r>
  </w:p>
  <w:p w:rsidR="006913BD" w:rsidRDefault="006913BD"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6913BD">
      <w:rPr>
        <w:rStyle w:val="Nmerodepgina"/>
        <w:noProof/>
      </w:rPr>
      <w:t>28</w:t>
    </w:r>
    <w:r>
      <w:rPr>
        <w:rStyle w:val="Nmerodepgina"/>
      </w:rPr>
      <w:fldChar w:fldCharType="end"/>
    </w:r>
  </w:p>
  <w:p w:rsidR="006913BD" w:rsidRDefault="006913BD">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28</w:t>
    </w:r>
    <w:r>
      <w:rPr>
        <w:rStyle w:val="Nmerodepgina"/>
      </w:rPr>
      <w:fldChar w:fldCharType="end"/>
    </w:r>
  </w:p>
  <w:p w:rsidR="006913BD" w:rsidRDefault="006913BD">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rsidP="006B2E1E">
    <w:pPr>
      <w:pStyle w:val="Piedepgina"/>
      <w:framePr w:wrap="around" w:vAnchor="text" w:hAnchor="page" w:x="14356" w:y="145"/>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29</w:t>
    </w:r>
    <w:r>
      <w:rPr>
        <w:rStyle w:val="Nmerodepgina"/>
      </w:rPr>
      <w:fldChar w:fldCharType="end"/>
    </w:r>
  </w:p>
  <w:p w:rsidR="006913BD" w:rsidRDefault="006913BD">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framePr w:wrap="around" w:vAnchor="text" w:hAnchor="margin" w:xAlign="right" w:y="1"/>
      <w:rPr>
        <w:rStyle w:val="Nmerodepgina"/>
      </w:rPr>
    </w:pPr>
    <w:r>
      <w:rPr>
        <w:rStyle w:val="Nmerodepgina"/>
      </w:rPr>
      <w:fldChar w:fldCharType="begin"/>
    </w:r>
    <w:r w:rsidR="006913BD">
      <w:rPr>
        <w:rStyle w:val="Nmerodepgina"/>
      </w:rPr>
      <w:instrText xml:space="preserve">PAGE  </w:instrText>
    </w:r>
    <w:r>
      <w:rPr>
        <w:rStyle w:val="Nmerodepgina"/>
      </w:rPr>
      <w:fldChar w:fldCharType="separate"/>
    </w:r>
    <w:r w:rsidR="008D7256">
      <w:rPr>
        <w:rStyle w:val="Nmerodepgina"/>
        <w:noProof/>
      </w:rPr>
      <w:t>44</w:t>
    </w:r>
    <w:r>
      <w:rPr>
        <w:rStyle w:val="Nmerodepgina"/>
      </w:rPr>
      <w:fldChar w:fldCharType="end"/>
    </w:r>
  </w:p>
  <w:p w:rsidR="006913BD" w:rsidRDefault="006913BD">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DB5977">
    <w:pPr>
      <w:pStyle w:val="Piedepgina"/>
      <w:jc w:val="right"/>
    </w:pPr>
    <w:r>
      <w:rPr>
        <w:snapToGrid w:val="0"/>
      </w:rPr>
      <w:t xml:space="preserve"> </w:t>
    </w:r>
    <w:r w:rsidR="00CE7ABC">
      <w:rPr>
        <w:snapToGrid w:val="0"/>
      </w:rPr>
      <w:fldChar w:fldCharType="begin"/>
    </w:r>
    <w:r>
      <w:rPr>
        <w:snapToGrid w:val="0"/>
      </w:rPr>
      <w:instrText xml:space="preserve"> PAGE </w:instrText>
    </w:r>
    <w:r w:rsidR="00CE7ABC">
      <w:rPr>
        <w:snapToGrid w:val="0"/>
      </w:rPr>
      <w:fldChar w:fldCharType="separate"/>
    </w:r>
    <w:r w:rsidR="008D7256">
      <w:rPr>
        <w:noProof/>
        <w:snapToGrid w:val="0"/>
      </w:rPr>
      <w:t>3</w:t>
    </w:r>
    <w:r w:rsidR="00CE7ABC">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jc w:val="center"/>
    </w:pPr>
    <w:r>
      <w:rPr>
        <w:snapToGrid w:val="0"/>
      </w:rPr>
      <w:t xml:space="preserve">- </w:t>
    </w:r>
    <w:r w:rsidR="00CE7ABC">
      <w:rPr>
        <w:snapToGrid w:val="0"/>
      </w:rPr>
      <w:fldChar w:fldCharType="begin"/>
    </w:r>
    <w:r>
      <w:rPr>
        <w:snapToGrid w:val="0"/>
      </w:rPr>
      <w:instrText xml:space="preserve"> PAGE </w:instrText>
    </w:r>
    <w:r w:rsidR="00CE7ABC">
      <w:rPr>
        <w:snapToGrid w:val="0"/>
      </w:rPr>
      <w:fldChar w:fldCharType="separate"/>
    </w:r>
    <w:r w:rsidR="008851E0">
      <w:rPr>
        <w:noProof/>
        <w:snapToGrid w:val="0"/>
      </w:rPr>
      <w:t>4</w:t>
    </w:r>
    <w:r w:rsidR="00CE7ABC">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Piedepgina"/>
      <w:jc w:val="center"/>
    </w:pPr>
    <w:r>
      <w:rPr>
        <w:snapToGrid w:val="0"/>
      </w:rPr>
      <w:t xml:space="preserve">- </w:t>
    </w:r>
    <w:r w:rsidR="00CE7ABC">
      <w:rPr>
        <w:snapToGrid w:val="0"/>
      </w:rPr>
      <w:fldChar w:fldCharType="begin"/>
    </w:r>
    <w:r>
      <w:rPr>
        <w:snapToGrid w:val="0"/>
      </w:rPr>
      <w:instrText xml:space="preserve"> PAGE </w:instrText>
    </w:r>
    <w:r w:rsidR="00CE7ABC">
      <w:rPr>
        <w:snapToGrid w:val="0"/>
      </w:rPr>
      <w:fldChar w:fldCharType="separate"/>
    </w:r>
    <w:r>
      <w:rPr>
        <w:noProof/>
        <w:snapToGrid w:val="0"/>
      </w:rPr>
      <w:t>4</w:t>
    </w:r>
    <w:r w:rsidR="00CE7ABC">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rsidP="00DB5977">
    <w:pPr>
      <w:pStyle w:val="Piedepgina"/>
      <w:jc w:val="right"/>
    </w:pPr>
    <w:r>
      <w:rPr>
        <w:snapToGrid w:val="0"/>
      </w:rPr>
      <w:fldChar w:fldCharType="begin"/>
    </w:r>
    <w:r w:rsidR="006913BD">
      <w:rPr>
        <w:snapToGrid w:val="0"/>
      </w:rPr>
      <w:instrText xml:space="preserve"> PAGE </w:instrText>
    </w:r>
    <w:r>
      <w:rPr>
        <w:snapToGrid w:val="0"/>
      </w:rPr>
      <w:fldChar w:fldCharType="separate"/>
    </w:r>
    <w:r w:rsidR="008D7256">
      <w:rPr>
        <w:noProof/>
        <w:snapToGrid w:val="0"/>
      </w:rPr>
      <w:t>4</w:t>
    </w:r>
    <w:r>
      <w:rPr>
        <w:snapToGrid w:val="0"/>
      </w:rPr>
      <w:fldChar w:fldCharType="end"/>
    </w:r>
    <w:r w:rsidR="006913BD">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DB5977">
    <w:pPr>
      <w:pStyle w:val="Piedepgina"/>
      <w:jc w:val="right"/>
    </w:pPr>
    <w:r>
      <w:rPr>
        <w:snapToGrid w:val="0"/>
      </w:rPr>
      <w:t xml:space="preserve"> </w:t>
    </w:r>
    <w:r w:rsidR="00CE7ABC">
      <w:rPr>
        <w:snapToGrid w:val="0"/>
      </w:rPr>
      <w:fldChar w:fldCharType="begin"/>
    </w:r>
    <w:r>
      <w:rPr>
        <w:snapToGrid w:val="0"/>
      </w:rPr>
      <w:instrText xml:space="preserve"> PAGE </w:instrText>
    </w:r>
    <w:r w:rsidR="00CE7ABC">
      <w:rPr>
        <w:snapToGrid w:val="0"/>
      </w:rPr>
      <w:fldChar w:fldCharType="separate"/>
    </w:r>
    <w:r w:rsidR="008D7256">
      <w:rPr>
        <w:noProof/>
        <w:snapToGrid w:val="0"/>
      </w:rPr>
      <w:t>6</w:t>
    </w:r>
    <w:r w:rsidR="00CE7ABC">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CE7ABC">
    <w:pPr>
      <w:pStyle w:val="Piedepgina"/>
      <w:jc w:val="right"/>
    </w:pPr>
    <w:fldSimple w:instr=" PAGE   \* MERGEFORMAT ">
      <w:r w:rsidR="008D7256">
        <w:rPr>
          <w:noProof/>
        </w:rPr>
        <w:t>7</w:t>
      </w:r>
    </w:fldSimple>
  </w:p>
  <w:p w:rsidR="006913BD" w:rsidRDefault="006913BD">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095F" w:rsidRDefault="0033095F">
      <w:r>
        <w:separator/>
      </w:r>
    </w:p>
  </w:footnote>
  <w:footnote w:type="continuationSeparator" w:id="0">
    <w:p w:rsidR="0033095F" w:rsidRDefault="0033095F">
      <w:r>
        <w:continuationSeparator/>
      </w:r>
    </w:p>
  </w:footnote>
  <w:footnote w:id="1">
    <w:p w:rsidR="006913BD" w:rsidRDefault="006913BD">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rPr>
        <w:i/>
      </w:rPr>
    </w:pPr>
    <w:r>
      <w:rPr>
        <w:i/>
      </w:rPr>
      <w:t>Síntesis Económica de Piura Noviembre  2012</w:t>
    </w:r>
  </w:p>
  <w:p w:rsidR="006913BD" w:rsidRDefault="006913BD">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pPr>
    <w:r>
      <w:tab/>
      <w:t>Síntesis Económica de Piura Octubre  2009</w:t>
    </w:r>
  </w:p>
  <w:p w:rsidR="006913BD" w:rsidRDefault="006913BD" w:rsidP="00253F18">
    <w:pPr>
      <w:pStyle w:val="Encabezado"/>
    </w:pPr>
  </w:p>
  <w:p w:rsidR="006913BD" w:rsidRDefault="006913BD"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Pr="00B54CAE" w:rsidRDefault="006913BD" w:rsidP="00392AF3">
    <w:pPr>
      <w:pStyle w:val="Encabezado"/>
      <w:rPr>
        <w:i/>
      </w:rPr>
    </w:pPr>
  </w:p>
  <w:p w:rsidR="006913BD" w:rsidRDefault="006913BD"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pPr>
      <w:pStyle w:val="Encabezado"/>
      <w:rPr>
        <w:lang w:val="es-PE"/>
      </w:rPr>
    </w:pPr>
  </w:p>
  <w:p w:rsidR="006913BD" w:rsidRPr="00253F18" w:rsidRDefault="006913BD">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Pr="00443DB8" w:rsidRDefault="006913BD" w:rsidP="00253F18">
    <w:pPr>
      <w:pStyle w:val="Encabezado"/>
      <w:rPr>
        <w:i/>
      </w:rPr>
    </w:pPr>
    <w:r w:rsidRPr="00443DB8">
      <w:rPr>
        <w:i/>
      </w:rPr>
      <w:t xml:space="preserve">Síntesis Económica de Piura </w:t>
    </w:r>
    <w:r>
      <w:rPr>
        <w:i/>
      </w:rPr>
      <w:t>Noviembre</w:t>
    </w:r>
    <w:r w:rsidRPr="00443DB8">
      <w:rPr>
        <w:i/>
      </w:rPr>
      <w:t xml:space="preserve">  20</w:t>
    </w:r>
    <w:r>
      <w:rPr>
        <w:i/>
      </w:rPr>
      <w:t>12</w:t>
    </w:r>
  </w:p>
  <w:p w:rsidR="006913BD" w:rsidRDefault="006913BD"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 xml:space="preserve">Síntesis Económica de Piura </w:t>
    </w:r>
    <w:r w:rsidR="00CC2BD1">
      <w:rPr>
        <w:i/>
      </w:rPr>
      <w:t>Noviem</w:t>
    </w:r>
    <w:r>
      <w:rPr>
        <w:i/>
      </w:rPr>
      <w:t>bre  2012</w:t>
    </w:r>
  </w:p>
  <w:p w:rsidR="006913BD" w:rsidRDefault="006913BD"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B136FC">
    <w:pPr>
      <w:pStyle w:val="Encabezado"/>
      <w:rPr>
        <w:i/>
      </w:rPr>
    </w:pPr>
    <w:r>
      <w:rPr>
        <w:i/>
      </w:rPr>
      <w:t>Síntesis Económica de Piura Abril  2012</w:t>
    </w:r>
  </w:p>
  <w:p w:rsidR="006913BD" w:rsidRDefault="006913BD">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rPr>
        <w:i/>
      </w:rPr>
    </w:pPr>
    <w:r>
      <w:rPr>
        <w:i/>
      </w:rPr>
      <w:t>Síntesis Económica de Piura Enero  2012</w:t>
    </w:r>
  </w:p>
  <w:p w:rsidR="006913BD" w:rsidRDefault="006913BD"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p w:rsidR="006913BD" w:rsidRDefault="006913BD"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C00468">
    <w:pPr>
      <w:pStyle w:val="Encabezado"/>
      <w:rPr>
        <w:i/>
      </w:rPr>
    </w:pPr>
  </w:p>
  <w:p w:rsidR="006913BD" w:rsidRDefault="006913BD"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p w:rsidR="006913BD" w:rsidRDefault="006913BD"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 xml:space="preserve">Síntesis Económica de Piura </w:t>
    </w:r>
    <w:r w:rsidR="00EB2A9C">
      <w:rPr>
        <w:i/>
      </w:rPr>
      <w:t>Noviem</w:t>
    </w:r>
    <w:r>
      <w:rPr>
        <w:i/>
      </w:rPr>
      <w:t>bre  2012</w:t>
    </w:r>
  </w:p>
  <w:p w:rsidR="006913BD" w:rsidRDefault="006913BD">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Pr="0007511F" w:rsidRDefault="006913BD"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Pr="00C00468" w:rsidRDefault="006913BD" w:rsidP="00C0046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3BD" w:rsidRDefault="006913BD" w:rsidP="00E83D8B">
    <w:pPr>
      <w:pStyle w:val="Encabezado"/>
      <w:rPr>
        <w:i/>
      </w:rPr>
    </w:pPr>
    <w:r>
      <w:rPr>
        <w:i/>
      </w:rPr>
      <w:t>Síntesis Económica de Piura Noviembre  2012</w:t>
    </w:r>
  </w:p>
  <w:p w:rsidR="006913BD" w:rsidRDefault="006913BD"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564226">
      <o:colormenu v:ext="edit" strokecolor="none"/>
    </o:shapedefaults>
  </w:hdrShapeDefaults>
  <w:footnotePr>
    <w:footnote w:id="-1"/>
    <w:footnote w:id="0"/>
  </w:footnotePr>
  <w:endnotePr>
    <w:endnote w:id="-1"/>
    <w:endnote w:id="0"/>
  </w:endnotePr>
  <w:compat/>
  <w:rsids>
    <w:rsidRoot w:val="00317274"/>
    <w:rsid w:val="00000146"/>
    <w:rsid w:val="000006EB"/>
    <w:rsid w:val="00003F85"/>
    <w:rsid w:val="00005AF1"/>
    <w:rsid w:val="00005AFD"/>
    <w:rsid w:val="00006AFD"/>
    <w:rsid w:val="00010DFF"/>
    <w:rsid w:val="00011A40"/>
    <w:rsid w:val="00016F5C"/>
    <w:rsid w:val="00017898"/>
    <w:rsid w:val="00017979"/>
    <w:rsid w:val="0002010A"/>
    <w:rsid w:val="00020939"/>
    <w:rsid w:val="00020C5A"/>
    <w:rsid w:val="00021C48"/>
    <w:rsid w:val="000225C1"/>
    <w:rsid w:val="00022B17"/>
    <w:rsid w:val="00024075"/>
    <w:rsid w:val="000271A9"/>
    <w:rsid w:val="00027A05"/>
    <w:rsid w:val="00027F35"/>
    <w:rsid w:val="000319BC"/>
    <w:rsid w:val="00031C43"/>
    <w:rsid w:val="00034490"/>
    <w:rsid w:val="00035D28"/>
    <w:rsid w:val="0003764C"/>
    <w:rsid w:val="00037F5B"/>
    <w:rsid w:val="000414D8"/>
    <w:rsid w:val="00041EEA"/>
    <w:rsid w:val="0004352C"/>
    <w:rsid w:val="00045694"/>
    <w:rsid w:val="000458D5"/>
    <w:rsid w:val="00046241"/>
    <w:rsid w:val="00050260"/>
    <w:rsid w:val="000540B7"/>
    <w:rsid w:val="0005411D"/>
    <w:rsid w:val="00054AAC"/>
    <w:rsid w:val="00055928"/>
    <w:rsid w:val="00057F69"/>
    <w:rsid w:val="00060440"/>
    <w:rsid w:val="00061BF1"/>
    <w:rsid w:val="00063236"/>
    <w:rsid w:val="00065132"/>
    <w:rsid w:val="000655B4"/>
    <w:rsid w:val="00066EF9"/>
    <w:rsid w:val="0007002A"/>
    <w:rsid w:val="000706A7"/>
    <w:rsid w:val="000711CB"/>
    <w:rsid w:val="00072E3C"/>
    <w:rsid w:val="000746D5"/>
    <w:rsid w:val="0007511F"/>
    <w:rsid w:val="0007733C"/>
    <w:rsid w:val="0007754A"/>
    <w:rsid w:val="000803B1"/>
    <w:rsid w:val="00081081"/>
    <w:rsid w:val="0008127B"/>
    <w:rsid w:val="00081A8C"/>
    <w:rsid w:val="00081AA1"/>
    <w:rsid w:val="00083071"/>
    <w:rsid w:val="00083232"/>
    <w:rsid w:val="0008391D"/>
    <w:rsid w:val="00083A53"/>
    <w:rsid w:val="00084CFA"/>
    <w:rsid w:val="000865D1"/>
    <w:rsid w:val="00086771"/>
    <w:rsid w:val="00087042"/>
    <w:rsid w:val="00090DE0"/>
    <w:rsid w:val="000910F0"/>
    <w:rsid w:val="00091811"/>
    <w:rsid w:val="00091B43"/>
    <w:rsid w:val="00091FCA"/>
    <w:rsid w:val="00092396"/>
    <w:rsid w:val="00093345"/>
    <w:rsid w:val="00094770"/>
    <w:rsid w:val="00096BB9"/>
    <w:rsid w:val="00097529"/>
    <w:rsid w:val="000979CC"/>
    <w:rsid w:val="000A5747"/>
    <w:rsid w:val="000A5939"/>
    <w:rsid w:val="000A61A7"/>
    <w:rsid w:val="000A6B8A"/>
    <w:rsid w:val="000B0AFA"/>
    <w:rsid w:val="000B0C0B"/>
    <w:rsid w:val="000B0ED6"/>
    <w:rsid w:val="000B0FF8"/>
    <w:rsid w:val="000B1811"/>
    <w:rsid w:val="000B2256"/>
    <w:rsid w:val="000B312D"/>
    <w:rsid w:val="000B46E9"/>
    <w:rsid w:val="000B5209"/>
    <w:rsid w:val="000B659B"/>
    <w:rsid w:val="000B6AFE"/>
    <w:rsid w:val="000B72FD"/>
    <w:rsid w:val="000C0C14"/>
    <w:rsid w:val="000C2284"/>
    <w:rsid w:val="000C33D4"/>
    <w:rsid w:val="000C45A7"/>
    <w:rsid w:val="000C7CD7"/>
    <w:rsid w:val="000D03DD"/>
    <w:rsid w:val="000D0430"/>
    <w:rsid w:val="000D1039"/>
    <w:rsid w:val="000D20A0"/>
    <w:rsid w:val="000D3447"/>
    <w:rsid w:val="000D5057"/>
    <w:rsid w:val="000D5807"/>
    <w:rsid w:val="000D5F4F"/>
    <w:rsid w:val="000D7A92"/>
    <w:rsid w:val="000E2291"/>
    <w:rsid w:val="000E32E0"/>
    <w:rsid w:val="000E473F"/>
    <w:rsid w:val="000E48B0"/>
    <w:rsid w:val="000E7BAD"/>
    <w:rsid w:val="000F3E1A"/>
    <w:rsid w:val="000F54DB"/>
    <w:rsid w:val="000F6330"/>
    <w:rsid w:val="000F66B2"/>
    <w:rsid w:val="00100434"/>
    <w:rsid w:val="001015A0"/>
    <w:rsid w:val="00102682"/>
    <w:rsid w:val="001034E7"/>
    <w:rsid w:val="0010369C"/>
    <w:rsid w:val="00103975"/>
    <w:rsid w:val="0010493D"/>
    <w:rsid w:val="001049D8"/>
    <w:rsid w:val="00104C7C"/>
    <w:rsid w:val="00104EBB"/>
    <w:rsid w:val="0011080F"/>
    <w:rsid w:val="0011150B"/>
    <w:rsid w:val="00111C7A"/>
    <w:rsid w:val="0011275B"/>
    <w:rsid w:val="00115098"/>
    <w:rsid w:val="00121505"/>
    <w:rsid w:val="001217E4"/>
    <w:rsid w:val="0012355F"/>
    <w:rsid w:val="001240D6"/>
    <w:rsid w:val="001246BE"/>
    <w:rsid w:val="00124A56"/>
    <w:rsid w:val="00124F05"/>
    <w:rsid w:val="001258A0"/>
    <w:rsid w:val="00126019"/>
    <w:rsid w:val="001263E0"/>
    <w:rsid w:val="00126EC3"/>
    <w:rsid w:val="0013017C"/>
    <w:rsid w:val="001302BB"/>
    <w:rsid w:val="0013050A"/>
    <w:rsid w:val="001308C6"/>
    <w:rsid w:val="00130FC0"/>
    <w:rsid w:val="001317A0"/>
    <w:rsid w:val="00132636"/>
    <w:rsid w:val="00133ACC"/>
    <w:rsid w:val="00133E46"/>
    <w:rsid w:val="00136735"/>
    <w:rsid w:val="00137FE2"/>
    <w:rsid w:val="001400F6"/>
    <w:rsid w:val="001414E7"/>
    <w:rsid w:val="00142064"/>
    <w:rsid w:val="00142340"/>
    <w:rsid w:val="00143142"/>
    <w:rsid w:val="00143594"/>
    <w:rsid w:val="00144FEC"/>
    <w:rsid w:val="001469D2"/>
    <w:rsid w:val="00146CCF"/>
    <w:rsid w:val="00147380"/>
    <w:rsid w:val="00152640"/>
    <w:rsid w:val="00153DDC"/>
    <w:rsid w:val="00154F7D"/>
    <w:rsid w:val="0015594F"/>
    <w:rsid w:val="00156426"/>
    <w:rsid w:val="001615FD"/>
    <w:rsid w:val="00161C19"/>
    <w:rsid w:val="00162C63"/>
    <w:rsid w:val="001634BF"/>
    <w:rsid w:val="00164E59"/>
    <w:rsid w:val="00164E67"/>
    <w:rsid w:val="00165A89"/>
    <w:rsid w:val="00165FDA"/>
    <w:rsid w:val="00167108"/>
    <w:rsid w:val="00170B3C"/>
    <w:rsid w:val="0017100C"/>
    <w:rsid w:val="001717EB"/>
    <w:rsid w:val="00171B10"/>
    <w:rsid w:val="001723BF"/>
    <w:rsid w:val="00173541"/>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250B"/>
    <w:rsid w:val="0019373C"/>
    <w:rsid w:val="00194533"/>
    <w:rsid w:val="00194CA4"/>
    <w:rsid w:val="001965C4"/>
    <w:rsid w:val="00196EFE"/>
    <w:rsid w:val="001A0A0D"/>
    <w:rsid w:val="001A39A8"/>
    <w:rsid w:val="001A39D0"/>
    <w:rsid w:val="001A4068"/>
    <w:rsid w:val="001B09BA"/>
    <w:rsid w:val="001B4408"/>
    <w:rsid w:val="001B4EE1"/>
    <w:rsid w:val="001B5371"/>
    <w:rsid w:val="001C0633"/>
    <w:rsid w:val="001C0EB6"/>
    <w:rsid w:val="001C30D2"/>
    <w:rsid w:val="001C335B"/>
    <w:rsid w:val="001C3764"/>
    <w:rsid w:val="001C61F3"/>
    <w:rsid w:val="001C6917"/>
    <w:rsid w:val="001D0223"/>
    <w:rsid w:val="001D065E"/>
    <w:rsid w:val="001D0923"/>
    <w:rsid w:val="001D219A"/>
    <w:rsid w:val="001D2244"/>
    <w:rsid w:val="001D41AB"/>
    <w:rsid w:val="001D42EB"/>
    <w:rsid w:val="001D5F9A"/>
    <w:rsid w:val="001D6CBE"/>
    <w:rsid w:val="001D7E3C"/>
    <w:rsid w:val="001E1479"/>
    <w:rsid w:val="001E2F37"/>
    <w:rsid w:val="001E30D9"/>
    <w:rsid w:val="001E3ED7"/>
    <w:rsid w:val="001E641D"/>
    <w:rsid w:val="001E77EA"/>
    <w:rsid w:val="001F1DAB"/>
    <w:rsid w:val="001F23F5"/>
    <w:rsid w:val="001F2864"/>
    <w:rsid w:val="001F37F0"/>
    <w:rsid w:val="001F53A6"/>
    <w:rsid w:val="001F5F50"/>
    <w:rsid w:val="001F6271"/>
    <w:rsid w:val="001F697C"/>
    <w:rsid w:val="001F6ADC"/>
    <w:rsid w:val="001F750C"/>
    <w:rsid w:val="001F7E1E"/>
    <w:rsid w:val="00200830"/>
    <w:rsid w:val="00200F61"/>
    <w:rsid w:val="00201D6C"/>
    <w:rsid w:val="00206651"/>
    <w:rsid w:val="00207D85"/>
    <w:rsid w:val="00207E7C"/>
    <w:rsid w:val="002107AE"/>
    <w:rsid w:val="0021270B"/>
    <w:rsid w:val="00212B59"/>
    <w:rsid w:val="00214792"/>
    <w:rsid w:val="00214BC3"/>
    <w:rsid w:val="00216839"/>
    <w:rsid w:val="00216A75"/>
    <w:rsid w:val="00216CDD"/>
    <w:rsid w:val="00217541"/>
    <w:rsid w:val="00220B39"/>
    <w:rsid w:val="00224122"/>
    <w:rsid w:val="0022668E"/>
    <w:rsid w:val="00227237"/>
    <w:rsid w:val="0023031E"/>
    <w:rsid w:val="00230F26"/>
    <w:rsid w:val="00231A2E"/>
    <w:rsid w:val="00232040"/>
    <w:rsid w:val="0023296E"/>
    <w:rsid w:val="002338C2"/>
    <w:rsid w:val="002339A6"/>
    <w:rsid w:val="00234A64"/>
    <w:rsid w:val="00235AC7"/>
    <w:rsid w:val="00236746"/>
    <w:rsid w:val="00237060"/>
    <w:rsid w:val="00237F82"/>
    <w:rsid w:val="002411BB"/>
    <w:rsid w:val="0024136E"/>
    <w:rsid w:val="00247CFD"/>
    <w:rsid w:val="00247D2D"/>
    <w:rsid w:val="0025185B"/>
    <w:rsid w:val="00253CE0"/>
    <w:rsid w:val="00253F18"/>
    <w:rsid w:val="00255E25"/>
    <w:rsid w:val="00255EF5"/>
    <w:rsid w:val="002560B5"/>
    <w:rsid w:val="0025752E"/>
    <w:rsid w:val="0026013D"/>
    <w:rsid w:val="0026214A"/>
    <w:rsid w:val="002667FB"/>
    <w:rsid w:val="002677C8"/>
    <w:rsid w:val="00267811"/>
    <w:rsid w:val="00267F59"/>
    <w:rsid w:val="00270881"/>
    <w:rsid w:val="002724C9"/>
    <w:rsid w:val="00273656"/>
    <w:rsid w:val="00274158"/>
    <w:rsid w:val="002745B2"/>
    <w:rsid w:val="00274817"/>
    <w:rsid w:val="00275C02"/>
    <w:rsid w:val="00275E8C"/>
    <w:rsid w:val="00276CEE"/>
    <w:rsid w:val="00276E10"/>
    <w:rsid w:val="00280095"/>
    <w:rsid w:val="002808C3"/>
    <w:rsid w:val="002817B4"/>
    <w:rsid w:val="00282244"/>
    <w:rsid w:val="00282C48"/>
    <w:rsid w:val="00283A13"/>
    <w:rsid w:val="00283FAF"/>
    <w:rsid w:val="002873D0"/>
    <w:rsid w:val="00290A92"/>
    <w:rsid w:val="0029442F"/>
    <w:rsid w:val="00294D9F"/>
    <w:rsid w:val="0029576C"/>
    <w:rsid w:val="002A0D93"/>
    <w:rsid w:val="002A0FF7"/>
    <w:rsid w:val="002A1467"/>
    <w:rsid w:val="002A14B6"/>
    <w:rsid w:val="002A165E"/>
    <w:rsid w:val="002A3CA0"/>
    <w:rsid w:val="002A3EC2"/>
    <w:rsid w:val="002A467B"/>
    <w:rsid w:val="002A5663"/>
    <w:rsid w:val="002A69F6"/>
    <w:rsid w:val="002B28EB"/>
    <w:rsid w:val="002B5C33"/>
    <w:rsid w:val="002B6215"/>
    <w:rsid w:val="002B73C1"/>
    <w:rsid w:val="002B74DC"/>
    <w:rsid w:val="002B7EE6"/>
    <w:rsid w:val="002C0BCE"/>
    <w:rsid w:val="002C277E"/>
    <w:rsid w:val="002C4847"/>
    <w:rsid w:val="002C4CFF"/>
    <w:rsid w:val="002C6530"/>
    <w:rsid w:val="002C7986"/>
    <w:rsid w:val="002D08BC"/>
    <w:rsid w:val="002D1C24"/>
    <w:rsid w:val="002D1CB3"/>
    <w:rsid w:val="002D38A2"/>
    <w:rsid w:val="002D5842"/>
    <w:rsid w:val="002E1C48"/>
    <w:rsid w:val="002E351C"/>
    <w:rsid w:val="002E39DD"/>
    <w:rsid w:val="002E3F59"/>
    <w:rsid w:val="002E50CD"/>
    <w:rsid w:val="002E524C"/>
    <w:rsid w:val="002E72E7"/>
    <w:rsid w:val="002F07B5"/>
    <w:rsid w:val="002F0DBF"/>
    <w:rsid w:val="002F0DD4"/>
    <w:rsid w:val="002F1688"/>
    <w:rsid w:val="002F1E9F"/>
    <w:rsid w:val="002F2C43"/>
    <w:rsid w:val="002F36A7"/>
    <w:rsid w:val="002F3A24"/>
    <w:rsid w:val="002F3D86"/>
    <w:rsid w:val="002F3F15"/>
    <w:rsid w:val="002F5175"/>
    <w:rsid w:val="002F553A"/>
    <w:rsid w:val="002F6253"/>
    <w:rsid w:val="002F6FEA"/>
    <w:rsid w:val="002F7F3B"/>
    <w:rsid w:val="00300A79"/>
    <w:rsid w:val="00300EF8"/>
    <w:rsid w:val="003017E5"/>
    <w:rsid w:val="003030B8"/>
    <w:rsid w:val="003074D8"/>
    <w:rsid w:val="00310B9A"/>
    <w:rsid w:val="00310EF7"/>
    <w:rsid w:val="003110CB"/>
    <w:rsid w:val="0031184E"/>
    <w:rsid w:val="00312016"/>
    <w:rsid w:val="003120C0"/>
    <w:rsid w:val="00312148"/>
    <w:rsid w:val="00313ED4"/>
    <w:rsid w:val="0031546D"/>
    <w:rsid w:val="003167C8"/>
    <w:rsid w:val="00317274"/>
    <w:rsid w:val="00317592"/>
    <w:rsid w:val="003217DC"/>
    <w:rsid w:val="00321BF6"/>
    <w:rsid w:val="00322565"/>
    <w:rsid w:val="00322B22"/>
    <w:rsid w:val="00322B59"/>
    <w:rsid w:val="00323202"/>
    <w:rsid w:val="00323BA7"/>
    <w:rsid w:val="00324EBF"/>
    <w:rsid w:val="00325E57"/>
    <w:rsid w:val="00327EE7"/>
    <w:rsid w:val="0033095F"/>
    <w:rsid w:val="0033272A"/>
    <w:rsid w:val="00333A50"/>
    <w:rsid w:val="00333F34"/>
    <w:rsid w:val="003400BA"/>
    <w:rsid w:val="0034202B"/>
    <w:rsid w:val="003474C5"/>
    <w:rsid w:val="00347D0B"/>
    <w:rsid w:val="00350BC3"/>
    <w:rsid w:val="00351199"/>
    <w:rsid w:val="0035146A"/>
    <w:rsid w:val="003520A2"/>
    <w:rsid w:val="00354A38"/>
    <w:rsid w:val="00354A7A"/>
    <w:rsid w:val="00355C63"/>
    <w:rsid w:val="00356FA0"/>
    <w:rsid w:val="0036002A"/>
    <w:rsid w:val="003600FD"/>
    <w:rsid w:val="0036066A"/>
    <w:rsid w:val="003608D7"/>
    <w:rsid w:val="003629CA"/>
    <w:rsid w:val="00364026"/>
    <w:rsid w:val="0036489F"/>
    <w:rsid w:val="00365C4D"/>
    <w:rsid w:val="003673F5"/>
    <w:rsid w:val="00367AF6"/>
    <w:rsid w:val="003711B6"/>
    <w:rsid w:val="0037131B"/>
    <w:rsid w:val="00371587"/>
    <w:rsid w:val="00371EF0"/>
    <w:rsid w:val="003748DF"/>
    <w:rsid w:val="00375873"/>
    <w:rsid w:val="00376BA8"/>
    <w:rsid w:val="00377929"/>
    <w:rsid w:val="00377FC9"/>
    <w:rsid w:val="003812B9"/>
    <w:rsid w:val="003824C2"/>
    <w:rsid w:val="0038368B"/>
    <w:rsid w:val="00384C96"/>
    <w:rsid w:val="003872E9"/>
    <w:rsid w:val="0038767D"/>
    <w:rsid w:val="00387758"/>
    <w:rsid w:val="00387E30"/>
    <w:rsid w:val="00390FE3"/>
    <w:rsid w:val="00392AF3"/>
    <w:rsid w:val="00393534"/>
    <w:rsid w:val="00393AE8"/>
    <w:rsid w:val="00394BC1"/>
    <w:rsid w:val="00395223"/>
    <w:rsid w:val="00395C90"/>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604B"/>
    <w:rsid w:val="003B7B43"/>
    <w:rsid w:val="003C50DC"/>
    <w:rsid w:val="003C58E6"/>
    <w:rsid w:val="003C6026"/>
    <w:rsid w:val="003C7F6F"/>
    <w:rsid w:val="003D1918"/>
    <w:rsid w:val="003D2D01"/>
    <w:rsid w:val="003D3038"/>
    <w:rsid w:val="003D36A9"/>
    <w:rsid w:val="003D4908"/>
    <w:rsid w:val="003D51E4"/>
    <w:rsid w:val="003D5A43"/>
    <w:rsid w:val="003D6631"/>
    <w:rsid w:val="003D667E"/>
    <w:rsid w:val="003D6C32"/>
    <w:rsid w:val="003E00FC"/>
    <w:rsid w:val="003E0380"/>
    <w:rsid w:val="003E0B82"/>
    <w:rsid w:val="003E1A7E"/>
    <w:rsid w:val="003E2F1B"/>
    <w:rsid w:val="003E38DE"/>
    <w:rsid w:val="003E3AE3"/>
    <w:rsid w:val="003E41DD"/>
    <w:rsid w:val="003E4BC2"/>
    <w:rsid w:val="003E4C0A"/>
    <w:rsid w:val="003E533E"/>
    <w:rsid w:val="003E63F2"/>
    <w:rsid w:val="003E644C"/>
    <w:rsid w:val="003F1C67"/>
    <w:rsid w:val="003F24B8"/>
    <w:rsid w:val="003F524A"/>
    <w:rsid w:val="003F5375"/>
    <w:rsid w:val="003F61E9"/>
    <w:rsid w:val="003F61ED"/>
    <w:rsid w:val="003F7942"/>
    <w:rsid w:val="004003AE"/>
    <w:rsid w:val="0040195F"/>
    <w:rsid w:val="00401ADA"/>
    <w:rsid w:val="00401CA7"/>
    <w:rsid w:val="00401F3D"/>
    <w:rsid w:val="0040205D"/>
    <w:rsid w:val="00402939"/>
    <w:rsid w:val="00410852"/>
    <w:rsid w:val="00410C3A"/>
    <w:rsid w:val="00413033"/>
    <w:rsid w:val="00413508"/>
    <w:rsid w:val="00414D84"/>
    <w:rsid w:val="0041597C"/>
    <w:rsid w:val="00416000"/>
    <w:rsid w:val="004175B5"/>
    <w:rsid w:val="00417822"/>
    <w:rsid w:val="004217C4"/>
    <w:rsid w:val="00421E7E"/>
    <w:rsid w:val="00423A5A"/>
    <w:rsid w:val="00423C1D"/>
    <w:rsid w:val="00423FD4"/>
    <w:rsid w:val="0043048B"/>
    <w:rsid w:val="00430C59"/>
    <w:rsid w:val="0043209D"/>
    <w:rsid w:val="00432EEE"/>
    <w:rsid w:val="0043337B"/>
    <w:rsid w:val="00433849"/>
    <w:rsid w:val="0043754D"/>
    <w:rsid w:val="00437DF1"/>
    <w:rsid w:val="00443DB8"/>
    <w:rsid w:val="00447E07"/>
    <w:rsid w:val="00453FE2"/>
    <w:rsid w:val="00456515"/>
    <w:rsid w:val="004565F2"/>
    <w:rsid w:val="004575E6"/>
    <w:rsid w:val="00461929"/>
    <w:rsid w:val="00461F45"/>
    <w:rsid w:val="004651BA"/>
    <w:rsid w:val="004657DD"/>
    <w:rsid w:val="00466446"/>
    <w:rsid w:val="00466ED6"/>
    <w:rsid w:val="0047037A"/>
    <w:rsid w:val="004720B9"/>
    <w:rsid w:val="0047393E"/>
    <w:rsid w:val="00473C5F"/>
    <w:rsid w:val="004747C3"/>
    <w:rsid w:val="00474ADA"/>
    <w:rsid w:val="00475005"/>
    <w:rsid w:val="00475595"/>
    <w:rsid w:val="00475623"/>
    <w:rsid w:val="004758D9"/>
    <w:rsid w:val="00480929"/>
    <w:rsid w:val="00480DA4"/>
    <w:rsid w:val="00481215"/>
    <w:rsid w:val="00482D62"/>
    <w:rsid w:val="00482FA5"/>
    <w:rsid w:val="004833F8"/>
    <w:rsid w:val="00483779"/>
    <w:rsid w:val="00483950"/>
    <w:rsid w:val="0048395D"/>
    <w:rsid w:val="004843D3"/>
    <w:rsid w:val="0048656E"/>
    <w:rsid w:val="00486623"/>
    <w:rsid w:val="00487180"/>
    <w:rsid w:val="004872E8"/>
    <w:rsid w:val="00493A2B"/>
    <w:rsid w:val="00494BB5"/>
    <w:rsid w:val="00495AAB"/>
    <w:rsid w:val="00496397"/>
    <w:rsid w:val="00496449"/>
    <w:rsid w:val="004970F1"/>
    <w:rsid w:val="004A02A7"/>
    <w:rsid w:val="004A1B20"/>
    <w:rsid w:val="004A1D64"/>
    <w:rsid w:val="004A27F4"/>
    <w:rsid w:val="004A2D07"/>
    <w:rsid w:val="004A2EEB"/>
    <w:rsid w:val="004A3245"/>
    <w:rsid w:val="004A3ECD"/>
    <w:rsid w:val="004A4311"/>
    <w:rsid w:val="004A4D78"/>
    <w:rsid w:val="004A5847"/>
    <w:rsid w:val="004A5DA5"/>
    <w:rsid w:val="004A61C4"/>
    <w:rsid w:val="004A71F7"/>
    <w:rsid w:val="004A74AB"/>
    <w:rsid w:val="004B07B9"/>
    <w:rsid w:val="004B1E6C"/>
    <w:rsid w:val="004B2251"/>
    <w:rsid w:val="004B3B47"/>
    <w:rsid w:val="004B3ED2"/>
    <w:rsid w:val="004B5011"/>
    <w:rsid w:val="004B578A"/>
    <w:rsid w:val="004B5E5D"/>
    <w:rsid w:val="004B78B2"/>
    <w:rsid w:val="004C1071"/>
    <w:rsid w:val="004C19C0"/>
    <w:rsid w:val="004C2FE0"/>
    <w:rsid w:val="004C3C43"/>
    <w:rsid w:val="004C3CD7"/>
    <w:rsid w:val="004C5B2C"/>
    <w:rsid w:val="004C6164"/>
    <w:rsid w:val="004C6DA6"/>
    <w:rsid w:val="004C711F"/>
    <w:rsid w:val="004C7447"/>
    <w:rsid w:val="004D2BB5"/>
    <w:rsid w:val="004D4FA2"/>
    <w:rsid w:val="004D760B"/>
    <w:rsid w:val="004D7624"/>
    <w:rsid w:val="004E119E"/>
    <w:rsid w:val="004E15E2"/>
    <w:rsid w:val="004E17E0"/>
    <w:rsid w:val="004E43C2"/>
    <w:rsid w:val="004E61E3"/>
    <w:rsid w:val="004E6441"/>
    <w:rsid w:val="004E6795"/>
    <w:rsid w:val="004E68B5"/>
    <w:rsid w:val="004E6F7E"/>
    <w:rsid w:val="004F1880"/>
    <w:rsid w:val="004F2097"/>
    <w:rsid w:val="004F31E6"/>
    <w:rsid w:val="004F4CC2"/>
    <w:rsid w:val="004F51D8"/>
    <w:rsid w:val="004F71F2"/>
    <w:rsid w:val="00500249"/>
    <w:rsid w:val="00500706"/>
    <w:rsid w:val="00501EFC"/>
    <w:rsid w:val="00503DFB"/>
    <w:rsid w:val="00505CDB"/>
    <w:rsid w:val="005063B4"/>
    <w:rsid w:val="00506C00"/>
    <w:rsid w:val="00506EE8"/>
    <w:rsid w:val="0051182A"/>
    <w:rsid w:val="00511BE4"/>
    <w:rsid w:val="00513624"/>
    <w:rsid w:val="0051565F"/>
    <w:rsid w:val="00517430"/>
    <w:rsid w:val="0052052B"/>
    <w:rsid w:val="00520B0A"/>
    <w:rsid w:val="005229DA"/>
    <w:rsid w:val="0052453D"/>
    <w:rsid w:val="00524847"/>
    <w:rsid w:val="005248D1"/>
    <w:rsid w:val="00524D48"/>
    <w:rsid w:val="0052573A"/>
    <w:rsid w:val="005266B2"/>
    <w:rsid w:val="00526CC4"/>
    <w:rsid w:val="00527509"/>
    <w:rsid w:val="00527674"/>
    <w:rsid w:val="00530AB2"/>
    <w:rsid w:val="005330D7"/>
    <w:rsid w:val="00533B14"/>
    <w:rsid w:val="00533D57"/>
    <w:rsid w:val="0053483B"/>
    <w:rsid w:val="00534E39"/>
    <w:rsid w:val="0053682D"/>
    <w:rsid w:val="005369C9"/>
    <w:rsid w:val="0053788A"/>
    <w:rsid w:val="00540360"/>
    <w:rsid w:val="00540724"/>
    <w:rsid w:val="005424DD"/>
    <w:rsid w:val="005435FE"/>
    <w:rsid w:val="00544D27"/>
    <w:rsid w:val="00546760"/>
    <w:rsid w:val="0054791F"/>
    <w:rsid w:val="00547AA1"/>
    <w:rsid w:val="00551565"/>
    <w:rsid w:val="0055244D"/>
    <w:rsid w:val="005559C6"/>
    <w:rsid w:val="0056151F"/>
    <w:rsid w:val="00563E05"/>
    <w:rsid w:val="00564A57"/>
    <w:rsid w:val="00564E5A"/>
    <w:rsid w:val="00570895"/>
    <w:rsid w:val="005713F6"/>
    <w:rsid w:val="0057553C"/>
    <w:rsid w:val="0057590E"/>
    <w:rsid w:val="00580B57"/>
    <w:rsid w:val="0058139D"/>
    <w:rsid w:val="005813DE"/>
    <w:rsid w:val="00582B3F"/>
    <w:rsid w:val="00582F7A"/>
    <w:rsid w:val="005830E0"/>
    <w:rsid w:val="005839BB"/>
    <w:rsid w:val="005843B2"/>
    <w:rsid w:val="005848B3"/>
    <w:rsid w:val="00585203"/>
    <w:rsid w:val="00585BE3"/>
    <w:rsid w:val="00587D2D"/>
    <w:rsid w:val="0059212D"/>
    <w:rsid w:val="00592B2C"/>
    <w:rsid w:val="00593F7A"/>
    <w:rsid w:val="005944FB"/>
    <w:rsid w:val="00594AF1"/>
    <w:rsid w:val="00594DAB"/>
    <w:rsid w:val="00596288"/>
    <w:rsid w:val="005A0A8E"/>
    <w:rsid w:val="005A48E3"/>
    <w:rsid w:val="005A4C43"/>
    <w:rsid w:val="005A7B6E"/>
    <w:rsid w:val="005B1549"/>
    <w:rsid w:val="005B5FC0"/>
    <w:rsid w:val="005B7A80"/>
    <w:rsid w:val="005B7CE2"/>
    <w:rsid w:val="005C4A2D"/>
    <w:rsid w:val="005C4C1F"/>
    <w:rsid w:val="005C5292"/>
    <w:rsid w:val="005C5D2F"/>
    <w:rsid w:val="005C674B"/>
    <w:rsid w:val="005C76B2"/>
    <w:rsid w:val="005D0716"/>
    <w:rsid w:val="005D0720"/>
    <w:rsid w:val="005D2715"/>
    <w:rsid w:val="005D46AA"/>
    <w:rsid w:val="005D506F"/>
    <w:rsid w:val="005D77BE"/>
    <w:rsid w:val="005E07C1"/>
    <w:rsid w:val="005E2ABF"/>
    <w:rsid w:val="005E40D1"/>
    <w:rsid w:val="005E6C7E"/>
    <w:rsid w:val="005E7AE7"/>
    <w:rsid w:val="005F0B3E"/>
    <w:rsid w:val="005F21EE"/>
    <w:rsid w:val="005F281C"/>
    <w:rsid w:val="005F30A4"/>
    <w:rsid w:val="005F3B70"/>
    <w:rsid w:val="005F3D10"/>
    <w:rsid w:val="005F4C09"/>
    <w:rsid w:val="005F6653"/>
    <w:rsid w:val="005F6F02"/>
    <w:rsid w:val="005F73C5"/>
    <w:rsid w:val="006021AF"/>
    <w:rsid w:val="00602E1C"/>
    <w:rsid w:val="006030F0"/>
    <w:rsid w:val="006038ED"/>
    <w:rsid w:val="0060601E"/>
    <w:rsid w:val="006062DB"/>
    <w:rsid w:val="00607B9E"/>
    <w:rsid w:val="00612894"/>
    <w:rsid w:val="00612940"/>
    <w:rsid w:val="006130B4"/>
    <w:rsid w:val="00613E82"/>
    <w:rsid w:val="006150C4"/>
    <w:rsid w:val="006161C6"/>
    <w:rsid w:val="00617E6C"/>
    <w:rsid w:val="0062037D"/>
    <w:rsid w:val="0062054A"/>
    <w:rsid w:val="00620A01"/>
    <w:rsid w:val="00621C85"/>
    <w:rsid w:val="00624CFB"/>
    <w:rsid w:val="00624EE2"/>
    <w:rsid w:val="006254CE"/>
    <w:rsid w:val="00625A1E"/>
    <w:rsid w:val="00626F1E"/>
    <w:rsid w:val="00627090"/>
    <w:rsid w:val="00630A29"/>
    <w:rsid w:val="00632AB3"/>
    <w:rsid w:val="00633EE3"/>
    <w:rsid w:val="006342E2"/>
    <w:rsid w:val="006353B2"/>
    <w:rsid w:val="006358E5"/>
    <w:rsid w:val="006369AE"/>
    <w:rsid w:val="00637EA3"/>
    <w:rsid w:val="006423C9"/>
    <w:rsid w:val="00644567"/>
    <w:rsid w:val="00646EB4"/>
    <w:rsid w:val="006474DD"/>
    <w:rsid w:val="006503A5"/>
    <w:rsid w:val="0065135F"/>
    <w:rsid w:val="00651B74"/>
    <w:rsid w:val="00652446"/>
    <w:rsid w:val="00652D8E"/>
    <w:rsid w:val="006536D5"/>
    <w:rsid w:val="0065441A"/>
    <w:rsid w:val="00655697"/>
    <w:rsid w:val="0065774F"/>
    <w:rsid w:val="00660638"/>
    <w:rsid w:val="0066135D"/>
    <w:rsid w:val="0066182D"/>
    <w:rsid w:val="006625FC"/>
    <w:rsid w:val="006640EA"/>
    <w:rsid w:val="0066485C"/>
    <w:rsid w:val="00664D7C"/>
    <w:rsid w:val="006658EC"/>
    <w:rsid w:val="0066613A"/>
    <w:rsid w:val="006662A2"/>
    <w:rsid w:val="006679FF"/>
    <w:rsid w:val="0067094D"/>
    <w:rsid w:val="00670BEF"/>
    <w:rsid w:val="00670E44"/>
    <w:rsid w:val="0067160A"/>
    <w:rsid w:val="006718B5"/>
    <w:rsid w:val="00673026"/>
    <w:rsid w:val="00675AA8"/>
    <w:rsid w:val="00675F1C"/>
    <w:rsid w:val="0067661F"/>
    <w:rsid w:val="00680C58"/>
    <w:rsid w:val="0068371C"/>
    <w:rsid w:val="00683ACD"/>
    <w:rsid w:val="00683C86"/>
    <w:rsid w:val="0068486E"/>
    <w:rsid w:val="006852A5"/>
    <w:rsid w:val="00685380"/>
    <w:rsid w:val="00690444"/>
    <w:rsid w:val="006906BA"/>
    <w:rsid w:val="00690A9B"/>
    <w:rsid w:val="006913BD"/>
    <w:rsid w:val="00691E2B"/>
    <w:rsid w:val="00692CFE"/>
    <w:rsid w:val="006938EA"/>
    <w:rsid w:val="006940B1"/>
    <w:rsid w:val="00694E3F"/>
    <w:rsid w:val="00696EC6"/>
    <w:rsid w:val="00696EC8"/>
    <w:rsid w:val="0069742A"/>
    <w:rsid w:val="00697934"/>
    <w:rsid w:val="006A057A"/>
    <w:rsid w:val="006A118D"/>
    <w:rsid w:val="006A1253"/>
    <w:rsid w:val="006A1659"/>
    <w:rsid w:val="006A181B"/>
    <w:rsid w:val="006A29C8"/>
    <w:rsid w:val="006A54C0"/>
    <w:rsid w:val="006B052E"/>
    <w:rsid w:val="006B253D"/>
    <w:rsid w:val="006B2E1E"/>
    <w:rsid w:val="006B3FA8"/>
    <w:rsid w:val="006C1354"/>
    <w:rsid w:val="006C2911"/>
    <w:rsid w:val="006C39FC"/>
    <w:rsid w:val="006C4497"/>
    <w:rsid w:val="006C4C43"/>
    <w:rsid w:val="006C4C96"/>
    <w:rsid w:val="006C6640"/>
    <w:rsid w:val="006D2A9D"/>
    <w:rsid w:val="006D3939"/>
    <w:rsid w:val="006D41CC"/>
    <w:rsid w:val="006D741B"/>
    <w:rsid w:val="006E186C"/>
    <w:rsid w:val="006E494B"/>
    <w:rsid w:val="006F15C6"/>
    <w:rsid w:val="006F2A4B"/>
    <w:rsid w:val="006F3640"/>
    <w:rsid w:val="006F394D"/>
    <w:rsid w:val="006F5BC2"/>
    <w:rsid w:val="006F6758"/>
    <w:rsid w:val="006F6AD4"/>
    <w:rsid w:val="006F75F1"/>
    <w:rsid w:val="00701F15"/>
    <w:rsid w:val="00701F39"/>
    <w:rsid w:val="00702329"/>
    <w:rsid w:val="00702B4E"/>
    <w:rsid w:val="007030F1"/>
    <w:rsid w:val="00703496"/>
    <w:rsid w:val="007046AE"/>
    <w:rsid w:val="00704B80"/>
    <w:rsid w:val="00707927"/>
    <w:rsid w:val="00711138"/>
    <w:rsid w:val="00712D30"/>
    <w:rsid w:val="00714024"/>
    <w:rsid w:val="00714287"/>
    <w:rsid w:val="0071474F"/>
    <w:rsid w:val="00715721"/>
    <w:rsid w:val="00717519"/>
    <w:rsid w:val="0072162B"/>
    <w:rsid w:val="00722E76"/>
    <w:rsid w:val="00723547"/>
    <w:rsid w:val="00724DCB"/>
    <w:rsid w:val="0073266A"/>
    <w:rsid w:val="00732C08"/>
    <w:rsid w:val="007345AA"/>
    <w:rsid w:val="00734B29"/>
    <w:rsid w:val="0073517A"/>
    <w:rsid w:val="00735C2D"/>
    <w:rsid w:val="0073649C"/>
    <w:rsid w:val="007401B5"/>
    <w:rsid w:val="00740E3C"/>
    <w:rsid w:val="0074133B"/>
    <w:rsid w:val="00741C8C"/>
    <w:rsid w:val="00742AE8"/>
    <w:rsid w:val="00744041"/>
    <w:rsid w:val="007459ED"/>
    <w:rsid w:val="00746ABA"/>
    <w:rsid w:val="00750AB1"/>
    <w:rsid w:val="007522BF"/>
    <w:rsid w:val="00753409"/>
    <w:rsid w:val="00756451"/>
    <w:rsid w:val="00756558"/>
    <w:rsid w:val="00757D14"/>
    <w:rsid w:val="007600DD"/>
    <w:rsid w:val="00762444"/>
    <w:rsid w:val="00762B96"/>
    <w:rsid w:val="007633DB"/>
    <w:rsid w:val="00763B0E"/>
    <w:rsid w:val="00763DBE"/>
    <w:rsid w:val="0076447C"/>
    <w:rsid w:val="00764B24"/>
    <w:rsid w:val="0076771E"/>
    <w:rsid w:val="00767BBB"/>
    <w:rsid w:val="00771301"/>
    <w:rsid w:val="00772711"/>
    <w:rsid w:val="007740FD"/>
    <w:rsid w:val="00774B1B"/>
    <w:rsid w:val="007762B9"/>
    <w:rsid w:val="0078121F"/>
    <w:rsid w:val="0078126F"/>
    <w:rsid w:val="00781F2D"/>
    <w:rsid w:val="007824FA"/>
    <w:rsid w:val="00782704"/>
    <w:rsid w:val="00784451"/>
    <w:rsid w:val="00787C8B"/>
    <w:rsid w:val="00791033"/>
    <w:rsid w:val="00791CCE"/>
    <w:rsid w:val="00792527"/>
    <w:rsid w:val="007931D5"/>
    <w:rsid w:val="007940E8"/>
    <w:rsid w:val="007945B2"/>
    <w:rsid w:val="007950DE"/>
    <w:rsid w:val="0079747F"/>
    <w:rsid w:val="007A0205"/>
    <w:rsid w:val="007A47B0"/>
    <w:rsid w:val="007A4C78"/>
    <w:rsid w:val="007A4FC6"/>
    <w:rsid w:val="007A53DA"/>
    <w:rsid w:val="007A5D2F"/>
    <w:rsid w:val="007B01F9"/>
    <w:rsid w:val="007B17A2"/>
    <w:rsid w:val="007B26FF"/>
    <w:rsid w:val="007B2C84"/>
    <w:rsid w:val="007B3C9E"/>
    <w:rsid w:val="007B428B"/>
    <w:rsid w:val="007B4670"/>
    <w:rsid w:val="007B47FE"/>
    <w:rsid w:val="007B4A97"/>
    <w:rsid w:val="007B68CB"/>
    <w:rsid w:val="007C0329"/>
    <w:rsid w:val="007C10D5"/>
    <w:rsid w:val="007C23F9"/>
    <w:rsid w:val="007C2C5C"/>
    <w:rsid w:val="007C36CC"/>
    <w:rsid w:val="007C5414"/>
    <w:rsid w:val="007C5EDE"/>
    <w:rsid w:val="007C6543"/>
    <w:rsid w:val="007C7B23"/>
    <w:rsid w:val="007D136B"/>
    <w:rsid w:val="007D32DE"/>
    <w:rsid w:val="007D45E0"/>
    <w:rsid w:val="007D62CD"/>
    <w:rsid w:val="007D6548"/>
    <w:rsid w:val="007D67E4"/>
    <w:rsid w:val="007D7F94"/>
    <w:rsid w:val="007E0019"/>
    <w:rsid w:val="007E0A39"/>
    <w:rsid w:val="007E0B01"/>
    <w:rsid w:val="007E0B4C"/>
    <w:rsid w:val="007E1DFB"/>
    <w:rsid w:val="007E235B"/>
    <w:rsid w:val="007E2AB8"/>
    <w:rsid w:val="007E4338"/>
    <w:rsid w:val="007E4DD8"/>
    <w:rsid w:val="007E5026"/>
    <w:rsid w:val="007E54D7"/>
    <w:rsid w:val="007E7C91"/>
    <w:rsid w:val="007F106F"/>
    <w:rsid w:val="007F169A"/>
    <w:rsid w:val="007F4042"/>
    <w:rsid w:val="007F5CE7"/>
    <w:rsid w:val="007F6307"/>
    <w:rsid w:val="007F6778"/>
    <w:rsid w:val="007F6EB1"/>
    <w:rsid w:val="007F77EB"/>
    <w:rsid w:val="00802D0F"/>
    <w:rsid w:val="008033D2"/>
    <w:rsid w:val="00803BBF"/>
    <w:rsid w:val="00803D5B"/>
    <w:rsid w:val="0080411C"/>
    <w:rsid w:val="00804B84"/>
    <w:rsid w:val="0080647F"/>
    <w:rsid w:val="00807AEC"/>
    <w:rsid w:val="0081017D"/>
    <w:rsid w:val="00810FBA"/>
    <w:rsid w:val="00813440"/>
    <w:rsid w:val="0081398B"/>
    <w:rsid w:val="008217FE"/>
    <w:rsid w:val="00822669"/>
    <w:rsid w:val="00824F55"/>
    <w:rsid w:val="008257DA"/>
    <w:rsid w:val="00827A4E"/>
    <w:rsid w:val="008302D7"/>
    <w:rsid w:val="008315D0"/>
    <w:rsid w:val="008327F0"/>
    <w:rsid w:val="00834A07"/>
    <w:rsid w:val="00835490"/>
    <w:rsid w:val="0083559F"/>
    <w:rsid w:val="00837EE7"/>
    <w:rsid w:val="00840E0D"/>
    <w:rsid w:val="008414B4"/>
    <w:rsid w:val="008441CC"/>
    <w:rsid w:val="0084420C"/>
    <w:rsid w:val="0084701F"/>
    <w:rsid w:val="00847577"/>
    <w:rsid w:val="00852557"/>
    <w:rsid w:val="00852AB9"/>
    <w:rsid w:val="00852C18"/>
    <w:rsid w:val="00852DFE"/>
    <w:rsid w:val="00853B94"/>
    <w:rsid w:val="00854926"/>
    <w:rsid w:val="0085623C"/>
    <w:rsid w:val="00856D52"/>
    <w:rsid w:val="00856D61"/>
    <w:rsid w:val="0085715D"/>
    <w:rsid w:val="00860FB3"/>
    <w:rsid w:val="008615E9"/>
    <w:rsid w:val="00861B54"/>
    <w:rsid w:val="008650FF"/>
    <w:rsid w:val="00870399"/>
    <w:rsid w:val="00870851"/>
    <w:rsid w:val="00870D58"/>
    <w:rsid w:val="00875B93"/>
    <w:rsid w:val="00875FDF"/>
    <w:rsid w:val="00880274"/>
    <w:rsid w:val="00880326"/>
    <w:rsid w:val="00882560"/>
    <w:rsid w:val="00884018"/>
    <w:rsid w:val="00884740"/>
    <w:rsid w:val="00885170"/>
    <w:rsid w:val="008851E0"/>
    <w:rsid w:val="00885B95"/>
    <w:rsid w:val="00886069"/>
    <w:rsid w:val="00887B01"/>
    <w:rsid w:val="00891E50"/>
    <w:rsid w:val="00892083"/>
    <w:rsid w:val="00892601"/>
    <w:rsid w:val="00893F10"/>
    <w:rsid w:val="0089517E"/>
    <w:rsid w:val="00895663"/>
    <w:rsid w:val="0089581F"/>
    <w:rsid w:val="00895A44"/>
    <w:rsid w:val="008961CB"/>
    <w:rsid w:val="0089771C"/>
    <w:rsid w:val="00897804"/>
    <w:rsid w:val="00897B2A"/>
    <w:rsid w:val="008A1412"/>
    <w:rsid w:val="008A1807"/>
    <w:rsid w:val="008A4B8B"/>
    <w:rsid w:val="008A4F85"/>
    <w:rsid w:val="008A5C7B"/>
    <w:rsid w:val="008B0087"/>
    <w:rsid w:val="008B02AE"/>
    <w:rsid w:val="008B0767"/>
    <w:rsid w:val="008B0ACB"/>
    <w:rsid w:val="008B1320"/>
    <w:rsid w:val="008B1CE6"/>
    <w:rsid w:val="008B3CB4"/>
    <w:rsid w:val="008B3CC1"/>
    <w:rsid w:val="008B3CF0"/>
    <w:rsid w:val="008B3DA2"/>
    <w:rsid w:val="008B54BE"/>
    <w:rsid w:val="008C05B2"/>
    <w:rsid w:val="008C0D57"/>
    <w:rsid w:val="008C2CAD"/>
    <w:rsid w:val="008C36C2"/>
    <w:rsid w:val="008C444B"/>
    <w:rsid w:val="008C5027"/>
    <w:rsid w:val="008C50F4"/>
    <w:rsid w:val="008D1191"/>
    <w:rsid w:val="008D1BAE"/>
    <w:rsid w:val="008D1F10"/>
    <w:rsid w:val="008D2A0F"/>
    <w:rsid w:val="008D2D46"/>
    <w:rsid w:val="008D30F3"/>
    <w:rsid w:val="008D3956"/>
    <w:rsid w:val="008D3B4A"/>
    <w:rsid w:val="008D432F"/>
    <w:rsid w:val="008D4F1A"/>
    <w:rsid w:val="008D5AD5"/>
    <w:rsid w:val="008D6870"/>
    <w:rsid w:val="008D7256"/>
    <w:rsid w:val="008E1E92"/>
    <w:rsid w:val="008E25BC"/>
    <w:rsid w:val="008E2B3B"/>
    <w:rsid w:val="008E2D06"/>
    <w:rsid w:val="008E3EC1"/>
    <w:rsid w:val="008E49D7"/>
    <w:rsid w:val="008E6266"/>
    <w:rsid w:val="008E7DF5"/>
    <w:rsid w:val="008F2403"/>
    <w:rsid w:val="008F30DE"/>
    <w:rsid w:val="008F36D3"/>
    <w:rsid w:val="008F5FBE"/>
    <w:rsid w:val="008F7B3E"/>
    <w:rsid w:val="00900281"/>
    <w:rsid w:val="0090046B"/>
    <w:rsid w:val="00900D30"/>
    <w:rsid w:val="00901C08"/>
    <w:rsid w:val="00902385"/>
    <w:rsid w:val="00902B9F"/>
    <w:rsid w:val="009037CD"/>
    <w:rsid w:val="00904E9D"/>
    <w:rsid w:val="00905456"/>
    <w:rsid w:val="00905B51"/>
    <w:rsid w:val="00905F55"/>
    <w:rsid w:val="00906E58"/>
    <w:rsid w:val="00907111"/>
    <w:rsid w:val="00910318"/>
    <w:rsid w:val="00910EEE"/>
    <w:rsid w:val="0091183C"/>
    <w:rsid w:val="0091264D"/>
    <w:rsid w:val="00915070"/>
    <w:rsid w:val="00916559"/>
    <w:rsid w:val="00920752"/>
    <w:rsid w:val="0092110A"/>
    <w:rsid w:val="00921616"/>
    <w:rsid w:val="00922081"/>
    <w:rsid w:val="00922744"/>
    <w:rsid w:val="00923ECE"/>
    <w:rsid w:val="009244EB"/>
    <w:rsid w:val="009249A8"/>
    <w:rsid w:val="00925F1A"/>
    <w:rsid w:val="00926274"/>
    <w:rsid w:val="00926338"/>
    <w:rsid w:val="00927C2D"/>
    <w:rsid w:val="00933075"/>
    <w:rsid w:val="00933DAA"/>
    <w:rsid w:val="00934D8E"/>
    <w:rsid w:val="00936F33"/>
    <w:rsid w:val="00940DEE"/>
    <w:rsid w:val="009439F2"/>
    <w:rsid w:val="00943D87"/>
    <w:rsid w:val="00944088"/>
    <w:rsid w:val="00944B8D"/>
    <w:rsid w:val="009459B3"/>
    <w:rsid w:val="00947305"/>
    <w:rsid w:val="00947BC8"/>
    <w:rsid w:val="009504F9"/>
    <w:rsid w:val="00952ECE"/>
    <w:rsid w:val="009539B9"/>
    <w:rsid w:val="00953A95"/>
    <w:rsid w:val="0095592E"/>
    <w:rsid w:val="00956FD4"/>
    <w:rsid w:val="00957E44"/>
    <w:rsid w:val="00961490"/>
    <w:rsid w:val="00962658"/>
    <w:rsid w:val="00962808"/>
    <w:rsid w:val="009629E2"/>
    <w:rsid w:val="00964110"/>
    <w:rsid w:val="00964648"/>
    <w:rsid w:val="00964DE4"/>
    <w:rsid w:val="009653B2"/>
    <w:rsid w:val="00966425"/>
    <w:rsid w:val="0097000A"/>
    <w:rsid w:val="009703C5"/>
    <w:rsid w:val="00971DC3"/>
    <w:rsid w:val="00972AD9"/>
    <w:rsid w:val="00973EC3"/>
    <w:rsid w:val="009741AF"/>
    <w:rsid w:val="00976F0F"/>
    <w:rsid w:val="009775BB"/>
    <w:rsid w:val="00982AD7"/>
    <w:rsid w:val="00983EDA"/>
    <w:rsid w:val="009856FE"/>
    <w:rsid w:val="00985ACD"/>
    <w:rsid w:val="00985F9A"/>
    <w:rsid w:val="00986626"/>
    <w:rsid w:val="00986A53"/>
    <w:rsid w:val="00986C9D"/>
    <w:rsid w:val="00987445"/>
    <w:rsid w:val="00991663"/>
    <w:rsid w:val="00993617"/>
    <w:rsid w:val="00994744"/>
    <w:rsid w:val="009A0ADB"/>
    <w:rsid w:val="009A147B"/>
    <w:rsid w:val="009A1AFB"/>
    <w:rsid w:val="009A275F"/>
    <w:rsid w:val="009A2B5A"/>
    <w:rsid w:val="009A3622"/>
    <w:rsid w:val="009A403A"/>
    <w:rsid w:val="009A5A8D"/>
    <w:rsid w:val="009A6884"/>
    <w:rsid w:val="009A6FAB"/>
    <w:rsid w:val="009A708B"/>
    <w:rsid w:val="009A7C2F"/>
    <w:rsid w:val="009B4316"/>
    <w:rsid w:val="009B542E"/>
    <w:rsid w:val="009B73D8"/>
    <w:rsid w:val="009B7A04"/>
    <w:rsid w:val="009C4777"/>
    <w:rsid w:val="009C664B"/>
    <w:rsid w:val="009C7513"/>
    <w:rsid w:val="009D0A9C"/>
    <w:rsid w:val="009D2824"/>
    <w:rsid w:val="009D31BD"/>
    <w:rsid w:val="009D3499"/>
    <w:rsid w:val="009D3FA5"/>
    <w:rsid w:val="009D4270"/>
    <w:rsid w:val="009D4F92"/>
    <w:rsid w:val="009D5B9B"/>
    <w:rsid w:val="009D7A81"/>
    <w:rsid w:val="009E0FB2"/>
    <w:rsid w:val="009E1A9A"/>
    <w:rsid w:val="009E2E3D"/>
    <w:rsid w:val="009E4267"/>
    <w:rsid w:val="009E4898"/>
    <w:rsid w:val="009E5BB4"/>
    <w:rsid w:val="009F0E1F"/>
    <w:rsid w:val="009F106C"/>
    <w:rsid w:val="009F1574"/>
    <w:rsid w:val="009F1C8C"/>
    <w:rsid w:val="009F349E"/>
    <w:rsid w:val="00A01D99"/>
    <w:rsid w:val="00A0213C"/>
    <w:rsid w:val="00A02526"/>
    <w:rsid w:val="00A02E95"/>
    <w:rsid w:val="00A0323C"/>
    <w:rsid w:val="00A03EDF"/>
    <w:rsid w:val="00A05534"/>
    <w:rsid w:val="00A07074"/>
    <w:rsid w:val="00A105B2"/>
    <w:rsid w:val="00A11E98"/>
    <w:rsid w:val="00A148A3"/>
    <w:rsid w:val="00A14DB6"/>
    <w:rsid w:val="00A1622C"/>
    <w:rsid w:val="00A214FD"/>
    <w:rsid w:val="00A21FA6"/>
    <w:rsid w:val="00A2269E"/>
    <w:rsid w:val="00A243CF"/>
    <w:rsid w:val="00A243E1"/>
    <w:rsid w:val="00A25050"/>
    <w:rsid w:val="00A25586"/>
    <w:rsid w:val="00A268D9"/>
    <w:rsid w:val="00A26D94"/>
    <w:rsid w:val="00A26DDE"/>
    <w:rsid w:val="00A26EC7"/>
    <w:rsid w:val="00A270E0"/>
    <w:rsid w:val="00A31A23"/>
    <w:rsid w:val="00A32360"/>
    <w:rsid w:val="00A34203"/>
    <w:rsid w:val="00A345B1"/>
    <w:rsid w:val="00A34717"/>
    <w:rsid w:val="00A352FA"/>
    <w:rsid w:val="00A3588F"/>
    <w:rsid w:val="00A35F09"/>
    <w:rsid w:val="00A3783D"/>
    <w:rsid w:val="00A37853"/>
    <w:rsid w:val="00A4027F"/>
    <w:rsid w:val="00A4194C"/>
    <w:rsid w:val="00A42098"/>
    <w:rsid w:val="00A43831"/>
    <w:rsid w:val="00A4427E"/>
    <w:rsid w:val="00A44904"/>
    <w:rsid w:val="00A45A45"/>
    <w:rsid w:val="00A46E5A"/>
    <w:rsid w:val="00A4755C"/>
    <w:rsid w:val="00A52CE0"/>
    <w:rsid w:val="00A5437A"/>
    <w:rsid w:val="00A54552"/>
    <w:rsid w:val="00A54D3A"/>
    <w:rsid w:val="00A56485"/>
    <w:rsid w:val="00A57594"/>
    <w:rsid w:val="00A63B51"/>
    <w:rsid w:val="00A6429C"/>
    <w:rsid w:val="00A6466F"/>
    <w:rsid w:val="00A66076"/>
    <w:rsid w:val="00A667B9"/>
    <w:rsid w:val="00A66FF6"/>
    <w:rsid w:val="00A67DB4"/>
    <w:rsid w:val="00A70C73"/>
    <w:rsid w:val="00A72EC1"/>
    <w:rsid w:val="00A73EF5"/>
    <w:rsid w:val="00A750BA"/>
    <w:rsid w:val="00A7643D"/>
    <w:rsid w:val="00A769FE"/>
    <w:rsid w:val="00A77DF5"/>
    <w:rsid w:val="00A80336"/>
    <w:rsid w:val="00A80A1B"/>
    <w:rsid w:val="00A80B21"/>
    <w:rsid w:val="00A83266"/>
    <w:rsid w:val="00A84451"/>
    <w:rsid w:val="00A85236"/>
    <w:rsid w:val="00A8605A"/>
    <w:rsid w:val="00A86683"/>
    <w:rsid w:val="00A91503"/>
    <w:rsid w:val="00A919AD"/>
    <w:rsid w:val="00A9743E"/>
    <w:rsid w:val="00AA07FE"/>
    <w:rsid w:val="00AA1086"/>
    <w:rsid w:val="00AA1776"/>
    <w:rsid w:val="00AA2C54"/>
    <w:rsid w:val="00AA531C"/>
    <w:rsid w:val="00AA68C5"/>
    <w:rsid w:val="00AB134F"/>
    <w:rsid w:val="00AB2CA4"/>
    <w:rsid w:val="00AB4DF6"/>
    <w:rsid w:val="00AB65C9"/>
    <w:rsid w:val="00AB6DAF"/>
    <w:rsid w:val="00AB7A70"/>
    <w:rsid w:val="00AB7ED5"/>
    <w:rsid w:val="00AC0647"/>
    <w:rsid w:val="00AC13A3"/>
    <w:rsid w:val="00AC150F"/>
    <w:rsid w:val="00AC3875"/>
    <w:rsid w:val="00AC3F0F"/>
    <w:rsid w:val="00AC4996"/>
    <w:rsid w:val="00AC71AC"/>
    <w:rsid w:val="00AD08A8"/>
    <w:rsid w:val="00AD1123"/>
    <w:rsid w:val="00AD1ACD"/>
    <w:rsid w:val="00AD1D0C"/>
    <w:rsid w:val="00AD2043"/>
    <w:rsid w:val="00AD4EF2"/>
    <w:rsid w:val="00AD5E96"/>
    <w:rsid w:val="00AD6A3B"/>
    <w:rsid w:val="00AD7527"/>
    <w:rsid w:val="00AE0405"/>
    <w:rsid w:val="00AE073E"/>
    <w:rsid w:val="00AE148F"/>
    <w:rsid w:val="00AE15A1"/>
    <w:rsid w:val="00AE1D4E"/>
    <w:rsid w:val="00AE21BE"/>
    <w:rsid w:val="00AE28C5"/>
    <w:rsid w:val="00AE2C26"/>
    <w:rsid w:val="00AE3031"/>
    <w:rsid w:val="00AE32B4"/>
    <w:rsid w:val="00AE37CC"/>
    <w:rsid w:val="00AE42EA"/>
    <w:rsid w:val="00AE508D"/>
    <w:rsid w:val="00AE57B8"/>
    <w:rsid w:val="00AE5AD4"/>
    <w:rsid w:val="00AE6F42"/>
    <w:rsid w:val="00AF1200"/>
    <w:rsid w:val="00AF200C"/>
    <w:rsid w:val="00AF37F9"/>
    <w:rsid w:val="00AF49E8"/>
    <w:rsid w:val="00AF4EAE"/>
    <w:rsid w:val="00AF503B"/>
    <w:rsid w:val="00AF5947"/>
    <w:rsid w:val="00AF5DFD"/>
    <w:rsid w:val="00AF6C99"/>
    <w:rsid w:val="00AF7033"/>
    <w:rsid w:val="00AF73DC"/>
    <w:rsid w:val="00B00B0F"/>
    <w:rsid w:val="00B013E9"/>
    <w:rsid w:val="00B0238B"/>
    <w:rsid w:val="00B04C2D"/>
    <w:rsid w:val="00B053F8"/>
    <w:rsid w:val="00B058C8"/>
    <w:rsid w:val="00B05D64"/>
    <w:rsid w:val="00B06031"/>
    <w:rsid w:val="00B06692"/>
    <w:rsid w:val="00B10855"/>
    <w:rsid w:val="00B11152"/>
    <w:rsid w:val="00B11CB7"/>
    <w:rsid w:val="00B12FDB"/>
    <w:rsid w:val="00B136FC"/>
    <w:rsid w:val="00B138AD"/>
    <w:rsid w:val="00B20CC0"/>
    <w:rsid w:val="00B22461"/>
    <w:rsid w:val="00B225F2"/>
    <w:rsid w:val="00B235F6"/>
    <w:rsid w:val="00B242ED"/>
    <w:rsid w:val="00B2430A"/>
    <w:rsid w:val="00B264A3"/>
    <w:rsid w:val="00B33750"/>
    <w:rsid w:val="00B34951"/>
    <w:rsid w:val="00B34C6A"/>
    <w:rsid w:val="00B36D56"/>
    <w:rsid w:val="00B410A8"/>
    <w:rsid w:val="00B452DF"/>
    <w:rsid w:val="00B454BF"/>
    <w:rsid w:val="00B45543"/>
    <w:rsid w:val="00B50313"/>
    <w:rsid w:val="00B50384"/>
    <w:rsid w:val="00B54CAE"/>
    <w:rsid w:val="00B56E96"/>
    <w:rsid w:val="00B603DD"/>
    <w:rsid w:val="00B63348"/>
    <w:rsid w:val="00B63CB2"/>
    <w:rsid w:val="00B640CF"/>
    <w:rsid w:val="00B660CB"/>
    <w:rsid w:val="00B6619C"/>
    <w:rsid w:val="00B668F2"/>
    <w:rsid w:val="00B669D7"/>
    <w:rsid w:val="00B67738"/>
    <w:rsid w:val="00B67ED6"/>
    <w:rsid w:val="00B70804"/>
    <w:rsid w:val="00B70BE6"/>
    <w:rsid w:val="00B71374"/>
    <w:rsid w:val="00B73490"/>
    <w:rsid w:val="00B73C7C"/>
    <w:rsid w:val="00B73F4A"/>
    <w:rsid w:val="00B74DED"/>
    <w:rsid w:val="00B75ED7"/>
    <w:rsid w:val="00B76E0C"/>
    <w:rsid w:val="00B774C3"/>
    <w:rsid w:val="00B8057E"/>
    <w:rsid w:val="00B81839"/>
    <w:rsid w:val="00B82720"/>
    <w:rsid w:val="00B82EE5"/>
    <w:rsid w:val="00B83804"/>
    <w:rsid w:val="00B854E7"/>
    <w:rsid w:val="00B85C23"/>
    <w:rsid w:val="00B85D10"/>
    <w:rsid w:val="00B877C3"/>
    <w:rsid w:val="00B87AD1"/>
    <w:rsid w:val="00B906F0"/>
    <w:rsid w:val="00B90E02"/>
    <w:rsid w:val="00B93557"/>
    <w:rsid w:val="00B93F81"/>
    <w:rsid w:val="00B94717"/>
    <w:rsid w:val="00B94A1B"/>
    <w:rsid w:val="00B95F25"/>
    <w:rsid w:val="00B96227"/>
    <w:rsid w:val="00BA090C"/>
    <w:rsid w:val="00BA33BA"/>
    <w:rsid w:val="00BA41E1"/>
    <w:rsid w:val="00BA4F91"/>
    <w:rsid w:val="00BA7749"/>
    <w:rsid w:val="00BA7998"/>
    <w:rsid w:val="00BB1440"/>
    <w:rsid w:val="00BB1BB7"/>
    <w:rsid w:val="00BB1E3B"/>
    <w:rsid w:val="00BB34DC"/>
    <w:rsid w:val="00BB6AB5"/>
    <w:rsid w:val="00BC06F4"/>
    <w:rsid w:val="00BC255B"/>
    <w:rsid w:val="00BC5062"/>
    <w:rsid w:val="00BC5C7F"/>
    <w:rsid w:val="00BC5F58"/>
    <w:rsid w:val="00BC6C3B"/>
    <w:rsid w:val="00BC6F75"/>
    <w:rsid w:val="00BC7159"/>
    <w:rsid w:val="00BD0CC1"/>
    <w:rsid w:val="00BD1D0A"/>
    <w:rsid w:val="00BD22B6"/>
    <w:rsid w:val="00BD389A"/>
    <w:rsid w:val="00BD4776"/>
    <w:rsid w:val="00BD4F42"/>
    <w:rsid w:val="00BD7947"/>
    <w:rsid w:val="00BE0FC1"/>
    <w:rsid w:val="00BE3C15"/>
    <w:rsid w:val="00BE5406"/>
    <w:rsid w:val="00BE5C10"/>
    <w:rsid w:val="00BE6DEC"/>
    <w:rsid w:val="00BE7065"/>
    <w:rsid w:val="00BF2392"/>
    <w:rsid w:val="00BF2EAC"/>
    <w:rsid w:val="00BF3334"/>
    <w:rsid w:val="00BF5A05"/>
    <w:rsid w:val="00BF7C93"/>
    <w:rsid w:val="00C00468"/>
    <w:rsid w:val="00C021DF"/>
    <w:rsid w:val="00C03F59"/>
    <w:rsid w:val="00C04590"/>
    <w:rsid w:val="00C04C0E"/>
    <w:rsid w:val="00C052B7"/>
    <w:rsid w:val="00C053FA"/>
    <w:rsid w:val="00C10E5E"/>
    <w:rsid w:val="00C11ED5"/>
    <w:rsid w:val="00C12C2C"/>
    <w:rsid w:val="00C15089"/>
    <w:rsid w:val="00C15339"/>
    <w:rsid w:val="00C171DD"/>
    <w:rsid w:val="00C17DA2"/>
    <w:rsid w:val="00C2053E"/>
    <w:rsid w:val="00C205B9"/>
    <w:rsid w:val="00C20FD7"/>
    <w:rsid w:val="00C2413D"/>
    <w:rsid w:val="00C249F3"/>
    <w:rsid w:val="00C25AF5"/>
    <w:rsid w:val="00C2611B"/>
    <w:rsid w:val="00C261BE"/>
    <w:rsid w:val="00C272BE"/>
    <w:rsid w:val="00C27619"/>
    <w:rsid w:val="00C2784C"/>
    <w:rsid w:val="00C30C83"/>
    <w:rsid w:val="00C31672"/>
    <w:rsid w:val="00C33005"/>
    <w:rsid w:val="00C33ED6"/>
    <w:rsid w:val="00C3520D"/>
    <w:rsid w:val="00C353AE"/>
    <w:rsid w:val="00C353C5"/>
    <w:rsid w:val="00C403A1"/>
    <w:rsid w:val="00C4086C"/>
    <w:rsid w:val="00C40AB3"/>
    <w:rsid w:val="00C4157E"/>
    <w:rsid w:val="00C41DBA"/>
    <w:rsid w:val="00C43FEC"/>
    <w:rsid w:val="00C44654"/>
    <w:rsid w:val="00C50A1F"/>
    <w:rsid w:val="00C50E1E"/>
    <w:rsid w:val="00C51A20"/>
    <w:rsid w:val="00C538DC"/>
    <w:rsid w:val="00C54324"/>
    <w:rsid w:val="00C549EE"/>
    <w:rsid w:val="00C5521E"/>
    <w:rsid w:val="00C603E1"/>
    <w:rsid w:val="00C6389F"/>
    <w:rsid w:val="00C63BE3"/>
    <w:rsid w:val="00C6451A"/>
    <w:rsid w:val="00C6475E"/>
    <w:rsid w:val="00C647A0"/>
    <w:rsid w:val="00C67D75"/>
    <w:rsid w:val="00C67E97"/>
    <w:rsid w:val="00C70F66"/>
    <w:rsid w:val="00C71628"/>
    <w:rsid w:val="00C7315E"/>
    <w:rsid w:val="00C73BD1"/>
    <w:rsid w:val="00C751A6"/>
    <w:rsid w:val="00C75813"/>
    <w:rsid w:val="00C76606"/>
    <w:rsid w:val="00C7671F"/>
    <w:rsid w:val="00C77B75"/>
    <w:rsid w:val="00C811E4"/>
    <w:rsid w:val="00C817CF"/>
    <w:rsid w:val="00C82369"/>
    <w:rsid w:val="00C83B31"/>
    <w:rsid w:val="00C841ED"/>
    <w:rsid w:val="00C84313"/>
    <w:rsid w:val="00C86B0B"/>
    <w:rsid w:val="00C86BA7"/>
    <w:rsid w:val="00C879FC"/>
    <w:rsid w:val="00C87A65"/>
    <w:rsid w:val="00C87E1C"/>
    <w:rsid w:val="00C9250E"/>
    <w:rsid w:val="00C92F21"/>
    <w:rsid w:val="00C94705"/>
    <w:rsid w:val="00C947CD"/>
    <w:rsid w:val="00C96BAF"/>
    <w:rsid w:val="00CA0356"/>
    <w:rsid w:val="00CA20E2"/>
    <w:rsid w:val="00CA297D"/>
    <w:rsid w:val="00CA42A6"/>
    <w:rsid w:val="00CA63F9"/>
    <w:rsid w:val="00CA6848"/>
    <w:rsid w:val="00CA7800"/>
    <w:rsid w:val="00CB46EB"/>
    <w:rsid w:val="00CB5683"/>
    <w:rsid w:val="00CC087F"/>
    <w:rsid w:val="00CC102F"/>
    <w:rsid w:val="00CC2BD1"/>
    <w:rsid w:val="00CC3A51"/>
    <w:rsid w:val="00CC4BA6"/>
    <w:rsid w:val="00CD14D6"/>
    <w:rsid w:val="00CD2302"/>
    <w:rsid w:val="00CD44C9"/>
    <w:rsid w:val="00CD4DF9"/>
    <w:rsid w:val="00CE1F3B"/>
    <w:rsid w:val="00CE3673"/>
    <w:rsid w:val="00CE7ABC"/>
    <w:rsid w:val="00CF0C94"/>
    <w:rsid w:val="00CF16C1"/>
    <w:rsid w:val="00CF1749"/>
    <w:rsid w:val="00CF35DD"/>
    <w:rsid w:val="00CF4BA8"/>
    <w:rsid w:val="00CF4C31"/>
    <w:rsid w:val="00D00CB9"/>
    <w:rsid w:val="00D00FE2"/>
    <w:rsid w:val="00D04714"/>
    <w:rsid w:val="00D05195"/>
    <w:rsid w:val="00D0530D"/>
    <w:rsid w:val="00D0738F"/>
    <w:rsid w:val="00D10FD3"/>
    <w:rsid w:val="00D11646"/>
    <w:rsid w:val="00D12664"/>
    <w:rsid w:val="00D145EA"/>
    <w:rsid w:val="00D15587"/>
    <w:rsid w:val="00D1735C"/>
    <w:rsid w:val="00D17F45"/>
    <w:rsid w:val="00D20647"/>
    <w:rsid w:val="00D22BF6"/>
    <w:rsid w:val="00D23128"/>
    <w:rsid w:val="00D2334E"/>
    <w:rsid w:val="00D23A25"/>
    <w:rsid w:val="00D252D5"/>
    <w:rsid w:val="00D25E74"/>
    <w:rsid w:val="00D26750"/>
    <w:rsid w:val="00D27033"/>
    <w:rsid w:val="00D27DDE"/>
    <w:rsid w:val="00D301DA"/>
    <w:rsid w:val="00D30AEE"/>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46A8"/>
    <w:rsid w:val="00D64902"/>
    <w:rsid w:val="00D65860"/>
    <w:rsid w:val="00D70E7C"/>
    <w:rsid w:val="00D716FB"/>
    <w:rsid w:val="00D71C1C"/>
    <w:rsid w:val="00D71E33"/>
    <w:rsid w:val="00D73C7D"/>
    <w:rsid w:val="00D73E35"/>
    <w:rsid w:val="00D74151"/>
    <w:rsid w:val="00D7487C"/>
    <w:rsid w:val="00D7629E"/>
    <w:rsid w:val="00D8014F"/>
    <w:rsid w:val="00D804CE"/>
    <w:rsid w:val="00D80D70"/>
    <w:rsid w:val="00D819DD"/>
    <w:rsid w:val="00D81B46"/>
    <w:rsid w:val="00D81B9A"/>
    <w:rsid w:val="00D823CB"/>
    <w:rsid w:val="00D82760"/>
    <w:rsid w:val="00D8354C"/>
    <w:rsid w:val="00D84DA1"/>
    <w:rsid w:val="00D85603"/>
    <w:rsid w:val="00D85BAC"/>
    <w:rsid w:val="00D85D41"/>
    <w:rsid w:val="00D900E4"/>
    <w:rsid w:val="00D90449"/>
    <w:rsid w:val="00D9364A"/>
    <w:rsid w:val="00D936AA"/>
    <w:rsid w:val="00D94733"/>
    <w:rsid w:val="00D9566C"/>
    <w:rsid w:val="00D95C35"/>
    <w:rsid w:val="00D972D0"/>
    <w:rsid w:val="00DA04AE"/>
    <w:rsid w:val="00DA1731"/>
    <w:rsid w:val="00DA2504"/>
    <w:rsid w:val="00DA29CD"/>
    <w:rsid w:val="00DA37D5"/>
    <w:rsid w:val="00DA408E"/>
    <w:rsid w:val="00DA71A8"/>
    <w:rsid w:val="00DA74A9"/>
    <w:rsid w:val="00DA797F"/>
    <w:rsid w:val="00DA7C72"/>
    <w:rsid w:val="00DB21F1"/>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649"/>
    <w:rsid w:val="00DD1A2F"/>
    <w:rsid w:val="00DD2D6C"/>
    <w:rsid w:val="00DD32DB"/>
    <w:rsid w:val="00DD3786"/>
    <w:rsid w:val="00DD47D8"/>
    <w:rsid w:val="00DD5316"/>
    <w:rsid w:val="00DD64C8"/>
    <w:rsid w:val="00DE286B"/>
    <w:rsid w:val="00DE2FC9"/>
    <w:rsid w:val="00DE36B5"/>
    <w:rsid w:val="00DE3A8A"/>
    <w:rsid w:val="00DE3B4C"/>
    <w:rsid w:val="00DE426E"/>
    <w:rsid w:val="00DE42A7"/>
    <w:rsid w:val="00DE4D24"/>
    <w:rsid w:val="00DE5F2F"/>
    <w:rsid w:val="00DE622C"/>
    <w:rsid w:val="00DE64FC"/>
    <w:rsid w:val="00DE6F49"/>
    <w:rsid w:val="00DE7BA6"/>
    <w:rsid w:val="00DE7F3A"/>
    <w:rsid w:val="00DF042A"/>
    <w:rsid w:val="00DF04C3"/>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3830"/>
    <w:rsid w:val="00E041A3"/>
    <w:rsid w:val="00E05090"/>
    <w:rsid w:val="00E053A2"/>
    <w:rsid w:val="00E06B22"/>
    <w:rsid w:val="00E075D4"/>
    <w:rsid w:val="00E07653"/>
    <w:rsid w:val="00E1121A"/>
    <w:rsid w:val="00E11ED4"/>
    <w:rsid w:val="00E129FA"/>
    <w:rsid w:val="00E12E1C"/>
    <w:rsid w:val="00E15A60"/>
    <w:rsid w:val="00E15A6A"/>
    <w:rsid w:val="00E206A6"/>
    <w:rsid w:val="00E21614"/>
    <w:rsid w:val="00E218CB"/>
    <w:rsid w:val="00E22C6E"/>
    <w:rsid w:val="00E241CB"/>
    <w:rsid w:val="00E26600"/>
    <w:rsid w:val="00E314E9"/>
    <w:rsid w:val="00E32280"/>
    <w:rsid w:val="00E33D2F"/>
    <w:rsid w:val="00E40358"/>
    <w:rsid w:val="00E40F0D"/>
    <w:rsid w:val="00E4204A"/>
    <w:rsid w:val="00E422EF"/>
    <w:rsid w:val="00E424E4"/>
    <w:rsid w:val="00E431E6"/>
    <w:rsid w:val="00E43D55"/>
    <w:rsid w:val="00E47529"/>
    <w:rsid w:val="00E4771E"/>
    <w:rsid w:val="00E50827"/>
    <w:rsid w:val="00E50D75"/>
    <w:rsid w:val="00E519C3"/>
    <w:rsid w:val="00E54F90"/>
    <w:rsid w:val="00E61558"/>
    <w:rsid w:val="00E625C1"/>
    <w:rsid w:val="00E6344C"/>
    <w:rsid w:val="00E6358C"/>
    <w:rsid w:val="00E65644"/>
    <w:rsid w:val="00E66F23"/>
    <w:rsid w:val="00E707A9"/>
    <w:rsid w:val="00E721BB"/>
    <w:rsid w:val="00E73C0C"/>
    <w:rsid w:val="00E746DB"/>
    <w:rsid w:val="00E747EF"/>
    <w:rsid w:val="00E74806"/>
    <w:rsid w:val="00E76005"/>
    <w:rsid w:val="00E7688D"/>
    <w:rsid w:val="00E77B18"/>
    <w:rsid w:val="00E77C92"/>
    <w:rsid w:val="00E80C45"/>
    <w:rsid w:val="00E82B80"/>
    <w:rsid w:val="00E83D8B"/>
    <w:rsid w:val="00E84942"/>
    <w:rsid w:val="00E84E8F"/>
    <w:rsid w:val="00E853DB"/>
    <w:rsid w:val="00E85692"/>
    <w:rsid w:val="00E87090"/>
    <w:rsid w:val="00E91C51"/>
    <w:rsid w:val="00E951AE"/>
    <w:rsid w:val="00E96B86"/>
    <w:rsid w:val="00E971C0"/>
    <w:rsid w:val="00EA308A"/>
    <w:rsid w:val="00EA4244"/>
    <w:rsid w:val="00EA59E3"/>
    <w:rsid w:val="00EA5D87"/>
    <w:rsid w:val="00EA6ACF"/>
    <w:rsid w:val="00EA75FE"/>
    <w:rsid w:val="00EA7D75"/>
    <w:rsid w:val="00EB11A1"/>
    <w:rsid w:val="00EB125C"/>
    <w:rsid w:val="00EB2211"/>
    <w:rsid w:val="00EB2A9C"/>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D5D14"/>
    <w:rsid w:val="00ED6CA5"/>
    <w:rsid w:val="00EE094F"/>
    <w:rsid w:val="00EE1ADF"/>
    <w:rsid w:val="00EE240D"/>
    <w:rsid w:val="00EE24DC"/>
    <w:rsid w:val="00EE2CD6"/>
    <w:rsid w:val="00EE2D63"/>
    <w:rsid w:val="00EE36C3"/>
    <w:rsid w:val="00EE48F7"/>
    <w:rsid w:val="00EE5F08"/>
    <w:rsid w:val="00EE62FD"/>
    <w:rsid w:val="00EE79C2"/>
    <w:rsid w:val="00EE7AFC"/>
    <w:rsid w:val="00EF00AE"/>
    <w:rsid w:val="00EF04E5"/>
    <w:rsid w:val="00EF0D48"/>
    <w:rsid w:val="00EF10B6"/>
    <w:rsid w:val="00EF2EBA"/>
    <w:rsid w:val="00EF3B0F"/>
    <w:rsid w:val="00EF4617"/>
    <w:rsid w:val="00EF72D8"/>
    <w:rsid w:val="00F00567"/>
    <w:rsid w:val="00F0124C"/>
    <w:rsid w:val="00F01567"/>
    <w:rsid w:val="00F01B87"/>
    <w:rsid w:val="00F03322"/>
    <w:rsid w:val="00F03DB3"/>
    <w:rsid w:val="00F04DEC"/>
    <w:rsid w:val="00F04DFF"/>
    <w:rsid w:val="00F0556D"/>
    <w:rsid w:val="00F06F41"/>
    <w:rsid w:val="00F07201"/>
    <w:rsid w:val="00F143AB"/>
    <w:rsid w:val="00F14DF6"/>
    <w:rsid w:val="00F153EA"/>
    <w:rsid w:val="00F1644D"/>
    <w:rsid w:val="00F20301"/>
    <w:rsid w:val="00F206D5"/>
    <w:rsid w:val="00F2139F"/>
    <w:rsid w:val="00F21D72"/>
    <w:rsid w:val="00F23EA7"/>
    <w:rsid w:val="00F24919"/>
    <w:rsid w:val="00F24EA2"/>
    <w:rsid w:val="00F2506A"/>
    <w:rsid w:val="00F26715"/>
    <w:rsid w:val="00F27159"/>
    <w:rsid w:val="00F310AB"/>
    <w:rsid w:val="00F32E1D"/>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418"/>
    <w:rsid w:val="00F466AB"/>
    <w:rsid w:val="00F479E3"/>
    <w:rsid w:val="00F50699"/>
    <w:rsid w:val="00F50B59"/>
    <w:rsid w:val="00F52980"/>
    <w:rsid w:val="00F53094"/>
    <w:rsid w:val="00F53478"/>
    <w:rsid w:val="00F5354A"/>
    <w:rsid w:val="00F53ED4"/>
    <w:rsid w:val="00F548BE"/>
    <w:rsid w:val="00F54955"/>
    <w:rsid w:val="00F54C3D"/>
    <w:rsid w:val="00F57373"/>
    <w:rsid w:val="00F57C9F"/>
    <w:rsid w:val="00F61FD7"/>
    <w:rsid w:val="00F63AB9"/>
    <w:rsid w:val="00F660CF"/>
    <w:rsid w:val="00F6643F"/>
    <w:rsid w:val="00F67760"/>
    <w:rsid w:val="00F716DF"/>
    <w:rsid w:val="00F72747"/>
    <w:rsid w:val="00F73E54"/>
    <w:rsid w:val="00F750B1"/>
    <w:rsid w:val="00F763E8"/>
    <w:rsid w:val="00F771D3"/>
    <w:rsid w:val="00F81E7A"/>
    <w:rsid w:val="00F82177"/>
    <w:rsid w:val="00F82BFF"/>
    <w:rsid w:val="00F83C45"/>
    <w:rsid w:val="00F84055"/>
    <w:rsid w:val="00F841C6"/>
    <w:rsid w:val="00F84B8A"/>
    <w:rsid w:val="00F84FED"/>
    <w:rsid w:val="00F87514"/>
    <w:rsid w:val="00F90504"/>
    <w:rsid w:val="00F91DBB"/>
    <w:rsid w:val="00F95569"/>
    <w:rsid w:val="00FA27DE"/>
    <w:rsid w:val="00FA2F6E"/>
    <w:rsid w:val="00FB0D4F"/>
    <w:rsid w:val="00FB11C3"/>
    <w:rsid w:val="00FB1428"/>
    <w:rsid w:val="00FB6E97"/>
    <w:rsid w:val="00FC12F1"/>
    <w:rsid w:val="00FC2213"/>
    <w:rsid w:val="00FC2EDF"/>
    <w:rsid w:val="00FC33E2"/>
    <w:rsid w:val="00FC351B"/>
    <w:rsid w:val="00FC39E4"/>
    <w:rsid w:val="00FC3B5E"/>
    <w:rsid w:val="00FC4618"/>
    <w:rsid w:val="00FC4837"/>
    <w:rsid w:val="00FC4A77"/>
    <w:rsid w:val="00FC4C9A"/>
    <w:rsid w:val="00FC524D"/>
    <w:rsid w:val="00FC66B9"/>
    <w:rsid w:val="00FC6A3F"/>
    <w:rsid w:val="00FC707C"/>
    <w:rsid w:val="00FC7238"/>
    <w:rsid w:val="00FD1F2E"/>
    <w:rsid w:val="00FD23AA"/>
    <w:rsid w:val="00FD3634"/>
    <w:rsid w:val="00FD3ADB"/>
    <w:rsid w:val="00FD513B"/>
    <w:rsid w:val="00FD57D1"/>
    <w:rsid w:val="00FD7B8B"/>
    <w:rsid w:val="00FE008F"/>
    <w:rsid w:val="00FE21A9"/>
    <w:rsid w:val="00FE4667"/>
    <w:rsid w:val="00FE5C52"/>
    <w:rsid w:val="00FF07C0"/>
    <w:rsid w:val="00FF2338"/>
    <w:rsid w:val="00FF3423"/>
    <w:rsid w:val="00FF519E"/>
    <w:rsid w:val="00FF739B"/>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4226">
      <o:colormenu v:ext="edit" strokecolor="none"/>
    </o:shapedefaults>
    <o:shapelayout v:ext="edit">
      <o:idmap v:ext="edit" data="1,9,97,40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 w:type="paragraph" w:customStyle="1" w:styleId="xl82">
    <w:name w:val="xl82"/>
    <w:basedOn w:val="Normal"/>
    <w:rsid w:val="006B253D"/>
    <w:pPr>
      <w:pBdr>
        <w:right w:val="single" w:sz="4" w:space="0" w:color="auto"/>
      </w:pBdr>
      <w:shd w:val="clear" w:color="000080" w:fill="FFFFFF"/>
      <w:spacing w:before="100" w:beforeAutospacing="1" w:after="100" w:afterAutospacing="1"/>
      <w:jc w:val="left"/>
    </w:pPr>
    <w:rPr>
      <w:rFonts w:ascii="Helvetica" w:eastAsia="Arial Unicode MS" w:hAnsi="Helvetica" w:cs="Arial Unicode MS"/>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142235231">
      <w:bodyDiv w:val="1"/>
      <w:marLeft w:val="0"/>
      <w:marRight w:val="0"/>
      <w:marTop w:val="0"/>
      <w:marBottom w:val="0"/>
      <w:divBdr>
        <w:top w:val="none" w:sz="0" w:space="0" w:color="auto"/>
        <w:left w:val="none" w:sz="0" w:space="0" w:color="auto"/>
        <w:bottom w:val="none" w:sz="0" w:space="0" w:color="auto"/>
        <w:right w:val="none" w:sz="0" w:space="0" w:color="auto"/>
      </w:divBdr>
    </w:div>
    <w:div w:id="229654666">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15233785">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452939714">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740375263">
      <w:bodyDiv w:val="1"/>
      <w:marLeft w:val="0"/>
      <w:marRight w:val="0"/>
      <w:marTop w:val="0"/>
      <w:marBottom w:val="0"/>
      <w:divBdr>
        <w:top w:val="none" w:sz="0" w:space="0" w:color="auto"/>
        <w:left w:val="none" w:sz="0" w:space="0" w:color="auto"/>
        <w:bottom w:val="none" w:sz="0" w:space="0" w:color="auto"/>
        <w:right w:val="none" w:sz="0" w:space="0" w:color="auto"/>
      </w:divBdr>
    </w:div>
    <w:div w:id="745299775">
      <w:bodyDiv w:val="1"/>
      <w:marLeft w:val="0"/>
      <w:marRight w:val="0"/>
      <w:marTop w:val="0"/>
      <w:marBottom w:val="0"/>
      <w:divBdr>
        <w:top w:val="none" w:sz="0" w:space="0" w:color="auto"/>
        <w:left w:val="none" w:sz="0" w:space="0" w:color="auto"/>
        <w:bottom w:val="none" w:sz="0" w:space="0" w:color="auto"/>
        <w:right w:val="none" w:sz="0" w:space="0" w:color="auto"/>
      </w:divBdr>
    </w:div>
    <w:div w:id="912159422">
      <w:bodyDiv w:val="1"/>
      <w:marLeft w:val="0"/>
      <w:marRight w:val="0"/>
      <w:marTop w:val="0"/>
      <w:marBottom w:val="0"/>
      <w:divBdr>
        <w:top w:val="none" w:sz="0" w:space="0" w:color="auto"/>
        <w:left w:val="none" w:sz="0" w:space="0" w:color="auto"/>
        <w:bottom w:val="none" w:sz="0" w:space="0" w:color="auto"/>
        <w:right w:val="none" w:sz="0" w:space="0" w:color="auto"/>
      </w:divBdr>
    </w:div>
    <w:div w:id="967858462">
      <w:bodyDiv w:val="1"/>
      <w:marLeft w:val="0"/>
      <w:marRight w:val="0"/>
      <w:marTop w:val="0"/>
      <w:marBottom w:val="0"/>
      <w:divBdr>
        <w:top w:val="none" w:sz="0" w:space="0" w:color="auto"/>
        <w:left w:val="none" w:sz="0" w:space="0" w:color="auto"/>
        <w:bottom w:val="none" w:sz="0" w:space="0" w:color="auto"/>
        <w:right w:val="none" w:sz="0" w:space="0" w:color="auto"/>
      </w:divBdr>
    </w:div>
    <w:div w:id="1058633217">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239360265">
      <w:bodyDiv w:val="1"/>
      <w:marLeft w:val="0"/>
      <w:marRight w:val="0"/>
      <w:marTop w:val="0"/>
      <w:marBottom w:val="0"/>
      <w:divBdr>
        <w:top w:val="none" w:sz="0" w:space="0" w:color="auto"/>
        <w:left w:val="none" w:sz="0" w:space="0" w:color="auto"/>
        <w:bottom w:val="none" w:sz="0" w:space="0" w:color="auto"/>
        <w:right w:val="none" w:sz="0" w:space="0" w:color="auto"/>
      </w:divBdr>
    </w:div>
    <w:div w:id="1291129050">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32893185">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48022191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59394825">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681395671">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 w:id="211531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image" Target="media/image39.emf"/><Relationship Id="rId21" Type="http://schemas.openxmlformats.org/officeDocument/2006/relationships/footer" Target="footer4.xml"/><Relationship Id="rId42" Type="http://schemas.openxmlformats.org/officeDocument/2006/relationships/package" Target="embeddings/Hoja_de_c_lculo_de_Microsoft_Office_Excel5.xlsx"/><Relationship Id="rId47" Type="http://schemas.openxmlformats.org/officeDocument/2006/relationships/image" Target="media/image14.wmf"/><Relationship Id="rId63" Type="http://schemas.openxmlformats.org/officeDocument/2006/relationships/image" Target="media/image19.emf"/><Relationship Id="rId68" Type="http://schemas.openxmlformats.org/officeDocument/2006/relationships/package" Target="embeddings/Hoja_de_c_lculo_de_Microsoft_Office_Excel10.xlsx"/><Relationship Id="rId84" Type="http://schemas.openxmlformats.org/officeDocument/2006/relationships/header" Target="header14.xml"/><Relationship Id="rId89" Type="http://schemas.openxmlformats.org/officeDocument/2006/relationships/oleObject" Target="embeddings/Hoja_de_c_lculo_de_Microsoft_Office_Excel_97-200313.xls"/><Relationship Id="rId112" Type="http://schemas.openxmlformats.org/officeDocument/2006/relationships/package" Target="embeddings/Hoja_de_c_lculo_de_Microsoft_Office_Excel22.xlsx"/><Relationship Id="rId133" Type="http://schemas.openxmlformats.org/officeDocument/2006/relationships/footer" Target="footer22.xml"/><Relationship Id="rId138" Type="http://schemas.openxmlformats.org/officeDocument/2006/relationships/footer" Target="footer25.xml"/><Relationship Id="rId154" Type="http://schemas.openxmlformats.org/officeDocument/2006/relationships/footer" Target="footer27.xml"/><Relationship Id="rId159" Type="http://schemas.openxmlformats.org/officeDocument/2006/relationships/image" Target="media/image50.emf"/><Relationship Id="rId175" Type="http://schemas.openxmlformats.org/officeDocument/2006/relationships/image" Target="media/image61.emf"/><Relationship Id="rId170" Type="http://schemas.openxmlformats.org/officeDocument/2006/relationships/image" Target="media/image56.wmf"/><Relationship Id="rId16" Type="http://schemas.openxmlformats.org/officeDocument/2006/relationships/image" Target="media/image3.emf"/><Relationship Id="rId107" Type="http://schemas.openxmlformats.org/officeDocument/2006/relationships/image" Target="media/image35.emf"/><Relationship Id="rId11" Type="http://schemas.openxmlformats.org/officeDocument/2006/relationships/footer" Target="footer2.xml"/><Relationship Id="rId32" Type="http://schemas.openxmlformats.org/officeDocument/2006/relationships/image" Target="media/image7.emf"/><Relationship Id="rId37" Type="http://schemas.openxmlformats.org/officeDocument/2006/relationships/image" Target="media/image9.emf"/><Relationship Id="rId53" Type="http://schemas.openxmlformats.org/officeDocument/2006/relationships/image" Target="media/image16.emf"/><Relationship Id="rId58" Type="http://schemas.openxmlformats.org/officeDocument/2006/relationships/oleObject" Target="embeddings/Hoja_de_c_lculo_de_Microsoft_Office_Excel_97-20038.xls"/><Relationship Id="rId74" Type="http://schemas.openxmlformats.org/officeDocument/2006/relationships/footer" Target="footer12.xml"/><Relationship Id="rId79" Type="http://schemas.openxmlformats.org/officeDocument/2006/relationships/header" Target="header12.xml"/><Relationship Id="rId102" Type="http://schemas.openxmlformats.org/officeDocument/2006/relationships/package" Target="embeddings/Hoja_de_c_lculo_de_Microsoft_Office_Excel17.xlsx"/><Relationship Id="rId123" Type="http://schemas.openxmlformats.org/officeDocument/2006/relationships/footer" Target="footer20.xml"/><Relationship Id="rId128" Type="http://schemas.openxmlformats.org/officeDocument/2006/relationships/header" Target="header19.xml"/><Relationship Id="rId144" Type="http://schemas.openxmlformats.org/officeDocument/2006/relationships/package" Target="embeddings/Hoja_de_c_lculo_de_Microsoft_Office_Excel30.xlsx"/><Relationship Id="rId149" Type="http://schemas.openxmlformats.org/officeDocument/2006/relationships/image" Target="media/image48.emf"/><Relationship Id="rId5" Type="http://schemas.openxmlformats.org/officeDocument/2006/relationships/webSettings" Target="webSettings.xml"/><Relationship Id="rId90" Type="http://schemas.openxmlformats.org/officeDocument/2006/relationships/header" Target="header15.xml"/><Relationship Id="rId95" Type="http://schemas.openxmlformats.org/officeDocument/2006/relationships/image" Target="media/image29.emf"/><Relationship Id="rId160" Type="http://schemas.openxmlformats.org/officeDocument/2006/relationships/oleObject" Target="embeddings/Hoja_de_c_lculo_de_Microsoft_Office_Excel_97-200315.xls"/><Relationship Id="rId165" Type="http://schemas.openxmlformats.org/officeDocument/2006/relationships/image" Target="media/image53.emf"/><Relationship Id="rId181" Type="http://schemas.openxmlformats.org/officeDocument/2006/relationships/footer" Target="footer31.xml"/><Relationship Id="rId186" Type="http://schemas.openxmlformats.org/officeDocument/2006/relationships/oleObject" Target="embeddings/Hoja_de_c_lculo_de_Microsoft_Office_Excel_97-200316.xls"/><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2.emf"/><Relationship Id="rId48" Type="http://schemas.openxmlformats.org/officeDocument/2006/relationships/oleObject" Target="embeddings/Hoja_de_c_lculo_de_Microsoft_Office_Excel_97-20036.xls"/><Relationship Id="rId64" Type="http://schemas.openxmlformats.org/officeDocument/2006/relationships/oleObject" Target="embeddings/Hoja_de_c_lculo_de_Microsoft_Office_Excel_97-20039.xls"/><Relationship Id="rId69" Type="http://schemas.openxmlformats.org/officeDocument/2006/relationships/image" Target="media/image22.emf"/><Relationship Id="rId113" Type="http://schemas.openxmlformats.org/officeDocument/2006/relationships/header" Target="header16.xml"/><Relationship Id="rId118" Type="http://schemas.openxmlformats.org/officeDocument/2006/relationships/package" Target="embeddings/Hoja_de_c_lculo_de_Microsoft_Office_Excel24.xlsx"/><Relationship Id="rId134" Type="http://schemas.openxmlformats.org/officeDocument/2006/relationships/footer" Target="footer23.xml"/><Relationship Id="rId139" Type="http://schemas.openxmlformats.org/officeDocument/2006/relationships/image" Target="media/image43.emf"/><Relationship Id="rId80" Type="http://schemas.openxmlformats.org/officeDocument/2006/relationships/footer" Target="footer13.xml"/><Relationship Id="rId85" Type="http://schemas.openxmlformats.org/officeDocument/2006/relationships/footer" Target="footer16.xml"/><Relationship Id="rId150" Type="http://schemas.openxmlformats.org/officeDocument/2006/relationships/oleObject" Target="embeddings/Hoja_de_c_lculo_de_Microsoft_Office_Excel_97-200314.xls"/><Relationship Id="rId155" Type="http://schemas.openxmlformats.org/officeDocument/2006/relationships/header" Target="header27.xml"/><Relationship Id="rId171" Type="http://schemas.openxmlformats.org/officeDocument/2006/relationships/image" Target="media/image57.emf"/><Relationship Id="rId176" Type="http://schemas.openxmlformats.org/officeDocument/2006/relationships/image" Target="media/image62.w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oleObject" Target="embeddings/Hoja_de_c_lculo_de_Microsoft_Office_Excel_97-20034.xls"/><Relationship Id="rId38" Type="http://schemas.openxmlformats.org/officeDocument/2006/relationships/package" Target="embeddings/Hoja_de_c_lculo_de_Microsoft_Office_Excel3.xlsx"/><Relationship Id="rId59" Type="http://schemas.openxmlformats.org/officeDocument/2006/relationships/image" Target="media/image18.emf"/><Relationship Id="rId103" Type="http://schemas.openxmlformats.org/officeDocument/2006/relationships/image" Target="media/image33.emf"/><Relationship Id="rId108" Type="http://schemas.openxmlformats.org/officeDocument/2006/relationships/package" Target="embeddings/Hoja_de_c_lculo_de_Microsoft_Office_Excel20.xlsx"/><Relationship Id="rId124" Type="http://schemas.openxmlformats.org/officeDocument/2006/relationships/image" Target="media/image41.emf"/><Relationship Id="rId129" Type="http://schemas.openxmlformats.org/officeDocument/2006/relationships/header" Target="header20.xml"/><Relationship Id="rId54" Type="http://schemas.openxmlformats.org/officeDocument/2006/relationships/package" Target="embeddings/Hoja_de_c_lculo_de_Microsoft_Office_Excel7.xlsx"/><Relationship Id="rId70" Type="http://schemas.openxmlformats.org/officeDocument/2006/relationships/oleObject" Target="embeddings/Hoja_de_c_lculo_de_Microsoft_Office_Excel_97-200310.xls"/><Relationship Id="rId75" Type="http://schemas.openxmlformats.org/officeDocument/2006/relationships/image" Target="media/image24.emf"/><Relationship Id="rId91" Type="http://schemas.openxmlformats.org/officeDocument/2006/relationships/footer" Target="footer17.xml"/><Relationship Id="rId96" Type="http://schemas.openxmlformats.org/officeDocument/2006/relationships/package" Target="embeddings/Hoja_de_c_lculo_de_Microsoft_Office_Excel14.xlsx"/><Relationship Id="rId140" Type="http://schemas.openxmlformats.org/officeDocument/2006/relationships/package" Target="embeddings/Hoja_de_c_lculo_de_Microsoft_Office_Excel28.xlsx"/><Relationship Id="rId145" Type="http://schemas.openxmlformats.org/officeDocument/2006/relationships/image" Target="media/image46.emf"/><Relationship Id="rId161" Type="http://schemas.openxmlformats.org/officeDocument/2006/relationships/header" Target="header28.xml"/><Relationship Id="rId166" Type="http://schemas.openxmlformats.org/officeDocument/2006/relationships/header" Target="header29.xml"/><Relationship Id="rId182" Type="http://schemas.openxmlformats.org/officeDocument/2006/relationships/image" Target="media/image66.wmf"/><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5.xml"/><Relationship Id="rId49" Type="http://schemas.openxmlformats.org/officeDocument/2006/relationships/image" Target="media/image15.wmf"/><Relationship Id="rId114" Type="http://schemas.openxmlformats.org/officeDocument/2006/relationships/footer" Target="footer19.xml"/><Relationship Id="rId119" Type="http://schemas.openxmlformats.org/officeDocument/2006/relationships/image" Target="media/image40.emf"/><Relationship Id="rId44" Type="http://schemas.openxmlformats.org/officeDocument/2006/relationships/package" Target="embeddings/Hoja_de_c_lculo_de_Microsoft_Office_Excel6.xlsx"/><Relationship Id="rId60" Type="http://schemas.openxmlformats.org/officeDocument/2006/relationships/package" Target="embeddings/Hoja_de_c_lculo_de_Microsoft_Office_Excel8.xlsx"/><Relationship Id="rId65" Type="http://schemas.openxmlformats.org/officeDocument/2006/relationships/image" Target="media/image20.emf"/><Relationship Id="rId81" Type="http://schemas.openxmlformats.org/officeDocument/2006/relationships/header" Target="header13.xml"/><Relationship Id="rId86" Type="http://schemas.openxmlformats.org/officeDocument/2006/relationships/image" Target="media/image26.emf"/><Relationship Id="rId130" Type="http://schemas.openxmlformats.org/officeDocument/2006/relationships/footer" Target="footer21.xml"/><Relationship Id="rId135" Type="http://schemas.openxmlformats.org/officeDocument/2006/relationships/header" Target="header23.xml"/><Relationship Id="rId151" Type="http://schemas.openxmlformats.org/officeDocument/2006/relationships/header" Target="header25.xml"/><Relationship Id="rId156" Type="http://schemas.openxmlformats.org/officeDocument/2006/relationships/footer" Target="footer28.xml"/><Relationship Id="rId177" Type="http://schemas.openxmlformats.org/officeDocument/2006/relationships/image" Target="media/image63.emf"/><Relationship Id="rId172" Type="http://schemas.openxmlformats.org/officeDocument/2006/relationships/image" Target="media/image58.e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0.emf"/><Relationship Id="rId109" Type="http://schemas.openxmlformats.org/officeDocument/2006/relationships/image" Target="media/image36.emf"/><Relationship Id="rId34" Type="http://schemas.openxmlformats.org/officeDocument/2006/relationships/header" Target="header7.xml"/><Relationship Id="rId50" Type="http://schemas.openxmlformats.org/officeDocument/2006/relationships/oleObject" Target="embeddings/Hoja_de_c_lculo_de_Microsoft_Office_Excel_97-20037.xls"/><Relationship Id="rId55" Type="http://schemas.openxmlformats.org/officeDocument/2006/relationships/header" Target="header9.xml"/><Relationship Id="rId76" Type="http://schemas.openxmlformats.org/officeDocument/2006/relationships/package" Target="embeddings/Hoja_de_c_lculo_de_Microsoft_Office_Excel11.xlsx"/><Relationship Id="rId97" Type="http://schemas.openxmlformats.org/officeDocument/2006/relationships/image" Target="media/image30.emf"/><Relationship Id="rId104" Type="http://schemas.openxmlformats.org/officeDocument/2006/relationships/package" Target="embeddings/Hoja_de_c_lculo_de_Microsoft_Office_Excel18.xlsx"/><Relationship Id="rId120" Type="http://schemas.openxmlformats.org/officeDocument/2006/relationships/package" Target="embeddings/Hoja_de_c_lculo_de_Microsoft_Office_Excel25.xlsx"/><Relationship Id="rId125" Type="http://schemas.openxmlformats.org/officeDocument/2006/relationships/package" Target="embeddings/Hoja_de_c_lculo_de_Microsoft_Office_Excel26.xlsx"/><Relationship Id="rId141" Type="http://schemas.openxmlformats.org/officeDocument/2006/relationships/image" Target="media/image44.emf"/><Relationship Id="rId146" Type="http://schemas.openxmlformats.org/officeDocument/2006/relationships/package" Target="embeddings/Hoja_de_c_lculo_de_Microsoft_Office_Excel31.xlsx"/><Relationship Id="rId167" Type="http://schemas.openxmlformats.org/officeDocument/2006/relationships/footer" Target="footer30.xml"/><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3.wmf"/><Relationship Id="rId92" Type="http://schemas.openxmlformats.org/officeDocument/2006/relationships/footer" Target="footer18.xml"/><Relationship Id="rId162" Type="http://schemas.openxmlformats.org/officeDocument/2006/relationships/footer" Target="footer29.xml"/><Relationship Id="rId183" Type="http://schemas.openxmlformats.org/officeDocument/2006/relationships/oleObject" Target="embeddings/oleObject1.bin"/><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image" Target="media/image5.wmf"/><Relationship Id="rId40" Type="http://schemas.openxmlformats.org/officeDocument/2006/relationships/package" Target="embeddings/Hoja_de_c_lculo_de_Microsoft_Office_Excel4.xlsx"/><Relationship Id="rId45" Type="http://schemas.openxmlformats.org/officeDocument/2006/relationships/image" Target="media/image13.emf"/><Relationship Id="rId66" Type="http://schemas.openxmlformats.org/officeDocument/2006/relationships/package" Target="embeddings/Hoja_de_c_lculo_de_Microsoft_Office_Excel9.xlsx"/><Relationship Id="rId87" Type="http://schemas.openxmlformats.org/officeDocument/2006/relationships/oleObject" Target="embeddings/Hoja_de_c_lculo_de_Microsoft_Office_Excel_97-200312.xls"/><Relationship Id="rId110" Type="http://schemas.openxmlformats.org/officeDocument/2006/relationships/package" Target="embeddings/Hoja_de_c_lculo_de_Microsoft_Office_Excel21.xlsx"/><Relationship Id="rId115" Type="http://schemas.openxmlformats.org/officeDocument/2006/relationships/image" Target="media/image38.emf"/><Relationship Id="rId131" Type="http://schemas.openxmlformats.org/officeDocument/2006/relationships/header" Target="header21.xml"/><Relationship Id="rId136" Type="http://schemas.openxmlformats.org/officeDocument/2006/relationships/footer" Target="footer24.xml"/><Relationship Id="rId157" Type="http://schemas.openxmlformats.org/officeDocument/2006/relationships/image" Target="media/image49.emf"/><Relationship Id="rId178" Type="http://schemas.openxmlformats.org/officeDocument/2006/relationships/image" Target="media/image64.emf"/><Relationship Id="rId61" Type="http://schemas.openxmlformats.org/officeDocument/2006/relationships/header" Target="header10.xml"/><Relationship Id="rId82" Type="http://schemas.openxmlformats.org/officeDocument/2006/relationships/footer" Target="footer14.xml"/><Relationship Id="rId152" Type="http://schemas.openxmlformats.org/officeDocument/2006/relationships/footer" Target="footer26.xml"/><Relationship Id="rId173" Type="http://schemas.openxmlformats.org/officeDocument/2006/relationships/image" Target="media/image59.e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6.xml"/><Relationship Id="rId35" Type="http://schemas.openxmlformats.org/officeDocument/2006/relationships/footer" Target="footer8.xml"/><Relationship Id="rId56" Type="http://schemas.openxmlformats.org/officeDocument/2006/relationships/footer" Target="footer10.xml"/><Relationship Id="rId77" Type="http://schemas.openxmlformats.org/officeDocument/2006/relationships/image" Target="media/image25.emf"/><Relationship Id="rId100" Type="http://schemas.openxmlformats.org/officeDocument/2006/relationships/package" Target="embeddings/Hoja_de_c_lculo_de_Microsoft_Office_Excel16.xlsx"/><Relationship Id="rId105" Type="http://schemas.openxmlformats.org/officeDocument/2006/relationships/image" Target="media/image34.emf"/><Relationship Id="rId126" Type="http://schemas.openxmlformats.org/officeDocument/2006/relationships/image" Target="media/image42.emf"/><Relationship Id="rId147" Type="http://schemas.openxmlformats.org/officeDocument/2006/relationships/image" Target="media/image47.emf"/><Relationship Id="rId168" Type="http://schemas.openxmlformats.org/officeDocument/2006/relationships/image" Target="media/image54.wmf"/><Relationship Id="rId8" Type="http://schemas.openxmlformats.org/officeDocument/2006/relationships/image" Target="media/image1.png"/><Relationship Id="rId51" Type="http://schemas.openxmlformats.org/officeDocument/2006/relationships/header" Target="header8.xml"/><Relationship Id="rId72" Type="http://schemas.openxmlformats.org/officeDocument/2006/relationships/oleObject" Target="embeddings/Hoja_de_c_lculo_de_Microsoft_Office_Excel_97-200311.xls"/><Relationship Id="rId93" Type="http://schemas.openxmlformats.org/officeDocument/2006/relationships/image" Target="media/image28.emf"/><Relationship Id="rId98" Type="http://schemas.openxmlformats.org/officeDocument/2006/relationships/package" Target="embeddings/Hoja_de_c_lculo_de_Microsoft_Office_Excel15.xlsx"/><Relationship Id="rId121" Type="http://schemas.openxmlformats.org/officeDocument/2006/relationships/header" Target="header17.xml"/><Relationship Id="rId142" Type="http://schemas.openxmlformats.org/officeDocument/2006/relationships/package" Target="embeddings/Hoja_de_c_lculo_de_Microsoft_Office_Excel29.xlsx"/><Relationship Id="rId163" Type="http://schemas.openxmlformats.org/officeDocument/2006/relationships/image" Target="media/image51.emf"/><Relationship Id="rId184"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5.xls"/><Relationship Id="rId67" Type="http://schemas.openxmlformats.org/officeDocument/2006/relationships/image" Target="media/image21.emf"/><Relationship Id="rId116" Type="http://schemas.openxmlformats.org/officeDocument/2006/relationships/package" Target="embeddings/Hoja_de_c_lculo_de_Microsoft_Office_Excel23.xlsx"/><Relationship Id="rId137" Type="http://schemas.openxmlformats.org/officeDocument/2006/relationships/header" Target="header24.xml"/><Relationship Id="rId158" Type="http://schemas.openxmlformats.org/officeDocument/2006/relationships/package" Target="embeddings/Hoja_de_c_lculo_de_Microsoft_Office_Excel33.xlsx"/><Relationship Id="rId20" Type="http://schemas.openxmlformats.org/officeDocument/2006/relationships/header" Target="header3.xml"/><Relationship Id="rId41" Type="http://schemas.openxmlformats.org/officeDocument/2006/relationships/image" Target="media/image11.emf"/><Relationship Id="rId62" Type="http://schemas.openxmlformats.org/officeDocument/2006/relationships/footer" Target="footer11.xml"/><Relationship Id="rId83" Type="http://schemas.openxmlformats.org/officeDocument/2006/relationships/footer" Target="footer15.xml"/><Relationship Id="rId88" Type="http://schemas.openxmlformats.org/officeDocument/2006/relationships/image" Target="media/image27.emf"/><Relationship Id="rId111" Type="http://schemas.openxmlformats.org/officeDocument/2006/relationships/image" Target="media/image37.emf"/><Relationship Id="rId132" Type="http://schemas.openxmlformats.org/officeDocument/2006/relationships/header" Target="header22.xml"/><Relationship Id="rId153" Type="http://schemas.openxmlformats.org/officeDocument/2006/relationships/header" Target="header26.xml"/><Relationship Id="rId174" Type="http://schemas.openxmlformats.org/officeDocument/2006/relationships/image" Target="media/image60.wmf"/><Relationship Id="rId179" Type="http://schemas.openxmlformats.org/officeDocument/2006/relationships/image" Target="media/image65.wmf"/><Relationship Id="rId15" Type="http://schemas.openxmlformats.org/officeDocument/2006/relationships/oleObject" Target="embeddings/Hoja_de_c_lculo_de_Microsoft_Office_Excel_97-20031.xls"/><Relationship Id="rId36" Type="http://schemas.openxmlformats.org/officeDocument/2006/relationships/image" Target="media/image8.png"/><Relationship Id="rId57" Type="http://schemas.openxmlformats.org/officeDocument/2006/relationships/image" Target="media/image17.emf"/><Relationship Id="rId106" Type="http://schemas.openxmlformats.org/officeDocument/2006/relationships/package" Target="embeddings/Hoja_de_c_lculo_de_Microsoft_Office_Excel19.xlsx"/><Relationship Id="rId127" Type="http://schemas.openxmlformats.org/officeDocument/2006/relationships/package" Target="embeddings/Hoja_de_c_lculo_de_Microsoft_Office_Excel27.xlsx"/><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footer" Target="footer9.xml"/><Relationship Id="rId73" Type="http://schemas.openxmlformats.org/officeDocument/2006/relationships/header" Target="header11.xml"/><Relationship Id="rId78" Type="http://schemas.openxmlformats.org/officeDocument/2006/relationships/package" Target="embeddings/Hoja_de_c_lculo_de_Microsoft_Office_Excel12.xlsx"/><Relationship Id="rId94" Type="http://schemas.openxmlformats.org/officeDocument/2006/relationships/package" Target="embeddings/Hoja_de_c_lculo_de_Microsoft_Office_Excel13.xlsx"/><Relationship Id="rId99" Type="http://schemas.openxmlformats.org/officeDocument/2006/relationships/image" Target="media/image31.emf"/><Relationship Id="rId101" Type="http://schemas.openxmlformats.org/officeDocument/2006/relationships/image" Target="media/image32.emf"/><Relationship Id="rId122" Type="http://schemas.openxmlformats.org/officeDocument/2006/relationships/header" Target="header18.xml"/><Relationship Id="rId143" Type="http://schemas.openxmlformats.org/officeDocument/2006/relationships/image" Target="media/image45.emf"/><Relationship Id="rId148" Type="http://schemas.openxmlformats.org/officeDocument/2006/relationships/package" Target="embeddings/Hoja_de_c_lculo_de_Microsoft_Office_Excel32.xlsx"/><Relationship Id="rId164" Type="http://schemas.openxmlformats.org/officeDocument/2006/relationships/image" Target="media/image52.wmf"/><Relationship Id="rId169" Type="http://schemas.openxmlformats.org/officeDocument/2006/relationships/image" Target="media/image55.wmf"/><Relationship Id="rId185" Type="http://schemas.openxmlformats.org/officeDocument/2006/relationships/image" Target="media/image68.e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eader" Target="header30.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308FAA-EE81-4B32-BDD9-DD02CD2C85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48</Pages>
  <Words>4749</Words>
  <Characters>26125</Characters>
  <Application>Microsoft Office Word</Application>
  <DocSecurity>0</DocSecurity>
  <Lines>217</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84</cp:revision>
  <cp:lastPrinted>2013-01-23T22:25:00Z</cp:lastPrinted>
  <dcterms:created xsi:type="dcterms:W3CDTF">2013-01-17T16:56:00Z</dcterms:created>
  <dcterms:modified xsi:type="dcterms:W3CDTF">2013-01-23T22:48:00Z</dcterms:modified>
</cp:coreProperties>
</file>